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jc w:val="center"/>
        <w:rPr>
          <w:color w:val="000000"/>
        </w:rPr>
      </w:pPr>
      <w:r>
        <w:rPr/>
        <w:commentReference w:id="0"/>
      </w:r>
      <w:r>
        <w:rPr/>
        <w:commentReference w:id="1"/>
      </w:r>
      <w:r>
        <w:rPr/>
        <w:commentReference w:id="2"/>
      </w:r>
      <w:r>
        <w:rPr/>
        <w:commentReference w:id="3"/>
      </w:r>
      <w:r>
        <w:rPr/>
        <w:commentReference w:id="4"/>
      </w:r>
      <w:r>
        <w:rPr/>
        <w:commentReference w:id="5"/>
      </w:r>
      <w:r>
        <w:rPr/>
        <w:commentReference w:id="6"/>
      </w:r>
      <w:r>
        <w:rPr>
          <w:color w:val="000000"/>
        </w:rPr>
        <w:t>Титульний аркуш Повідомлення</w:t>
        <w:br/>
        <w:t>(Повідомлення про інформацію)</w:t>
      </w:r>
    </w:p>
    <w:tbl>
      <w:tblPr>
        <w:tblW w:w="5000" w:type="pct"/>
        <w:jc w:val="left"/>
        <w:tblInd w:w="0" w:type="dxa"/>
        <w:tblBorders/>
        <w:tblCellMar>
          <w:top w:w="0" w:type="dxa"/>
          <w:left w:w="0" w:type="dxa"/>
          <w:bottom w:w="0" w:type="dxa"/>
          <w:right w:w="0" w:type="dxa"/>
        </w:tblCellMar>
      </w:tblPr>
      <w:tblGrid>
        <w:gridCol w:w="430"/>
        <w:gridCol w:w="4297"/>
        <w:gridCol w:w="144"/>
        <w:gridCol w:w="1674"/>
        <w:gridCol w:w="1"/>
        <w:gridCol w:w="105"/>
        <w:gridCol w:w="3553"/>
      </w:tblGrid>
      <w:tr>
        <w:trPr/>
        <w:tc>
          <w:tcPr>
            <w:tcW w:w="10204" w:type="dxa"/>
            <w:gridSpan w:val="7"/>
            <w:tcBorders/>
            <w:shd w:fill="auto" w:val="clear"/>
            <w:vAlign w:val="center"/>
          </w:tcPr>
          <w:p>
            <w:pPr>
              <w:pStyle w:val="Style17"/>
              <w:rPr>
                <w:sz w:val="4"/>
                <w:szCs w:val="4"/>
              </w:rPr>
            </w:pPr>
            <w:r>
              <w:rPr>
                <w:sz w:val="4"/>
                <w:szCs w:val="4"/>
              </w:rPr>
            </w:r>
          </w:p>
        </w:tc>
      </w:tr>
      <w:tr>
        <w:trPr/>
        <w:tc>
          <w:tcPr>
            <w:tcW w:w="430" w:type="dxa"/>
            <w:tcBorders/>
            <w:shd w:fill="auto" w:val="clear"/>
            <w:vAlign w:val="center"/>
          </w:tcPr>
          <w:p>
            <w:pPr>
              <w:pStyle w:val="Style17"/>
              <w:rPr>
                <w:sz w:val="4"/>
                <w:szCs w:val="4"/>
              </w:rPr>
            </w:pPr>
            <w:r>
              <w:rPr>
                <w:sz w:val="4"/>
                <w:szCs w:val="4"/>
              </w:rPr>
            </w:r>
          </w:p>
        </w:tc>
        <w:tc>
          <w:tcPr>
            <w:tcW w:w="6115" w:type="dxa"/>
            <w:gridSpan w:val="3"/>
            <w:tcBorders/>
            <w:shd w:fill="auto" w:val="clear"/>
            <w:vAlign w:val="center"/>
          </w:tcPr>
          <w:p>
            <w:pPr>
              <w:pStyle w:val="MsoNormal"/>
              <w:spacing w:before="0" w:after="140"/>
              <w:jc w:val="center"/>
              <w:rPr/>
            </w:pPr>
            <w:r>
              <w:rPr>
                <w:color w:val="000000"/>
              </w:rPr>
              <w:t>2</w:t>
            </w:r>
            <w:r>
              <w:rPr>
                <w:color w:val="000000"/>
              </w:rPr>
              <w:t>9</w:t>
            </w:r>
            <w:r>
              <w:rPr>
                <w:color w:val="000000"/>
              </w:rPr>
              <w:t>.08.2019</w:t>
            </w:r>
          </w:p>
        </w:tc>
        <w:tc>
          <w:tcPr>
            <w:tcW w:w="3659" w:type="dxa"/>
            <w:gridSpan w:val="3"/>
            <w:tcBorders/>
            <w:shd w:fill="auto" w:val="clear"/>
            <w:vAlign w:val="center"/>
          </w:tcPr>
          <w:p>
            <w:pPr>
              <w:pStyle w:val="Style17"/>
              <w:rPr>
                <w:sz w:val="4"/>
                <w:szCs w:val="4"/>
              </w:rPr>
            </w:pPr>
            <w:r>
              <w:rPr>
                <w:sz w:val="4"/>
                <w:szCs w:val="4"/>
              </w:rPr>
            </w:r>
          </w:p>
        </w:tc>
      </w:tr>
      <w:tr>
        <w:trPr/>
        <w:tc>
          <w:tcPr>
            <w:tcW w:w="430" w:type="dxa"/>
            <w:tcBorders/>
            <w:shd w:fill="auto" w:val="clear"/>
            <w:vAlign w:val="center"/>
          </w:tcPr>
          <w:p>
            <w:pPr>
              <w:pStyle w:val="Style17"/>
              <w:rPr>
                <w:sz w:val="4"/>
                <w:szCs w:val="4"/>
              </w:rPr>
            </w:pPr>
            <w:r>
              <w:rPr>
                <w:sz w:val="4"/>
                <w:szCs w:val="4"/>
              </w:rPr>
            </w:r>
          </w:p>
        </w:tc>
        <w:tc>
          <w:tcPr>
            <w:tcW w:w="6115" w:type="dxa"/>
            <w:gridSpan w:val="3"/>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(дата реєстрації емітентом електронного документа)</w:t>
            </w:r>
          </w:p>
        </w:tc>
        <w:tc>
          <w:tcPr>
            <w:tcW w:w="3659" w:type="dxa"/>
            <w:gridSpan w:val="3"/>
            <w:tcBorders/>
            <w:shd w:fill="auto" w:val="clear"/>
            <w:vAlign w:val="center"/>
          </w:tcPr>
          <w:p>
            <w:pPr>
              <w:pStyle w:val="MsoNormal"/>
              <w:spacing w:before="0" w:after="140"/>
              <w:jc w:val="center"/>
              <w:rPr>
                <w:color w:val="000000"/>
              </w:rPr>
            </w:pPr>
            <w:r>
              <w:rPr>
                <w:color w:val="000000"/>
              </w:rPr>
              <w:t> </w:t>
            </w:r>
          </w:p>
        </w:tc>
      </w:tr>
      <w:tr>
        <w:trPr/>
        <w:tc>
          <w:tcPr>
            <w:tcW w:w="430" w:type="dxa"/>
            <w:tcBorders/>
            <w:shd w:fill="auto" w:val="clear"/>
            <w:vAlign w:val="center"/>
          </w:tcPr>
          <w:p>
            <w:pPr>
              <w:pStyle w:val="MsoNormal"/>
              <w:spacing w:before="0" w:after="140"/>
              <w:jc w:val="right"/>
              <w:rPr>
                <w:color w:val="000000"/>
              </w:rPr>
            </w:pPr>
            <w:r>
              <w:rPr>
                <w:color w:val="000000"/>
              </w:rPr>
              <w:t>№</w:t>
            </w:r>
          </w:p>
        </w:tc>
        <w:tc>
          <w:tcPr>
            <w:tcW w:w="6115" w:type="dxa"/>
            <w:gridSpan w:val="3"/>
            <w:tcBorders/>
            <w:shd w:fill="auto" w:val="clear"/>
            <w:vAlign w:val="center"/>
          </w:tcPr>
          <w:p>
            <w:pPr>
              <w:pStyle w:val="MsoNormal"/>
              <w:spacing w:before="0" w:after="140"/>
              <w:jc w:val="center"/>
              <w:rPr>
                <w:color w:val="000000"/>
              </w:rPr>
            </w:pPr>
            <w:r>
              <w:rPr>
                <w:color w:val="000000"/>
              </w:rPr>
              <w:t>3</w:t>
            </w:r>
          </w:p>
        </w:tc>
        <w:tc>
          <w:tcPr>
            <w:tcW w:w="3659" w:type="dxa"/>
            <w:gridSpan w:val="3"/>
            <w:tcBorders/>
            <w:shd w:fill="auto" w:val="clear"/>
            <w:vAlign w:val="center"/>
          </w:tcPr>
          <w:p>
            <w:pPr>
              <w:pStyle w:val="Style17"/>
              <w:rPr>
                <w:sz w:val="4"/>
                <w:szCs w:val="4"/>
              </w:rPr>
            </w:pPr>
            <w:r>
              <w:rPr>
                <w:sz w:val="4"/>
                <w:szCs w:val="4"/>
              </w:rPr>
            </w:r>
          </w:p>
        </w:tc>
      </w:tr>
      <w:tr>
        <w:trPr/>
        <w:tc>
          <w:tcPr>
            <w:tcW w:w="430" w:type="dxa"/>
            <w:tcBorders/>
            <w:shd w:fill="auto" w:val="clear"/>
            <w:vAlign w:val="center"/>
          </w:tcPr>
          <w:p>
            <w:pPr>
              <w:pStyle w:val="Style17"/>
              <w:rPr>
                <w:sz w:val="4"/>
                <w:szCs w:val="4"/>
              </w:rPr>
            </w:pPr>
            <w:r>
              <w:rPr>
                <w:sz w:val="4"/>
                <w:szCs w:val="4"/>
              </w:rPr>
            </w:r>
          </w:p>
        </w:tc>
        <w:tc>
          <w:tcPr>
            <w:tcW w:w="6115" w:type="dxa"/>
            <w:gridSpan w:val="3"/>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(вихідний реєстраційний номер електронного документа)</w:t>
            </w:r>
          </w:p>
        </w:tc>
        <w:tc>
          <w:tcPr>
            <w:tcW w:w="3659" w:type="dxa"/>
            <w:gridSpan w:val="3"/>
            <w:tcBorders/>
            <w:shd w:fill="auto" w:val="clear"/>
            <w:vAlign w:val="center"/>
          </w:tcPr>
          <w:p>
            <w:pPr>
              <w:pStyle w:val="MsoNormal"/>
              <w:spacing w:before="0" w:after="140"/>
              <w:jc w:val="center"/>
              <w:rPr>
                <w:color w:val="000000"/>
              </w:rPr>
            </w:pPr>
            <w:r>
              <w:rPr>
                <w:color w:val="000000"/>
              </w:rPr>
              <w:t> </w:t>
            </w:r>
          </w:p>
        </w:tc>
      </w:tr>
      <w:tr>
        <w:trPr/>
        <w:tc>
          <w:tcPr>
            <w:tcW w:w="10204" w:type="dxa"/>
            <w:gridSpan w:val="7"/>
            <w:tcBorders/>
            <w:shd w:fill="auto" w:val="clear"/>
            <w:vAlign w:val="center"/>
          </w:tcPr>
          <w:p>
            <w:pPr>
              <w:pStyle w:val="MsoNormal"/>
              <w:spacing w:before="0" w:after="140"/>
              <w:jc w:val="both"/>
              <w:rPr>
                <w:color w:val="000000"/>
              </w:rPr>
            </w:pPr>
            <w:r>
              <w:rPr>
                <w:color w:val="000000"/>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w:t>
            </w:r>
          </w:p>
        </w:tc>
      </w:tr>
      <w:tr>
        <w:trPr/>
        <w:tc>
          <w:tcPr>
            <w:tcW w:w="430" w:type="dxa"/>
            <w:tcBorders/>
            <w:shd w:fill="auto" w:val="clear"/>
            <w:vAlign w:val="center"/>
          </w:tcPr>
          <w:p>
            <w:pPr>
              <w:pStyle w:val="Style17"/>
              <w:rPr>
                <w:sz w:val="4"/>
                <w:szCs w:val="4"/>
              </w:rPr>
            </w:pPr>
            <w:r>
              <w:rPr>
                <w:sz w:val="4"/>
                <w:szCs w:val="4"/>
              </w:rPr>
            </w:r>
          </w:p>
        </w:tc>
        <w:tc>
          <w:tcPr>
            <w:tcW w:w="4297" w:type="dxa"/>
            <w:tcBorders/>
            <w:shd w:fill="auto" w:val="clear"/>
            <w:vAlign w:val="center"/>
          </w:tcPr>
          <w:p>
            <w:pPr>
              <w:pStyle w:val="MsoNormal"/>
              <w:spacing w:before="0" w:after="140"/>
              <w:jc w:val="center"/>
              <w:rPr>
                <w:color w:val="000000"/>
              </w:rPr>
            </w:pPr>
            <w:r>
              <w:rPr>
                <w:color w:val="000000"/>
              </w:rPr>
              <w:t>Директор</w:t>
            </w:r>
          </w:p>
        </w:tc>
        <w:tc>
          <w:tcPr>
            <w:tcW w:w="144" w:type="dxa"/>
            <w:tcBorders/>
            <w:shd w:fill="auto" w:val="clear"/>
            <w:vAlign w:val="center"/>
          </w:tcPr>
          <w:p>
            <w:pPr>
              <w:pStyle w:val="MsoNormal"/>
              <w:spacing w:before="0" w:after="140"/>
              <w:jc w:val="center"/>
              <w:rPr>
                <w:color w:val="000000"/>
              </w:rPr>
            </w:pPr>
            <w:r>
              <w:rPr>
                <w:color w:val="000000"/>
              </w:rPr>
              <w:t> </w:t>
            </w:r>
          </w:p>
        </w:tc>
        <w:tc>
          <w:tcPr>
            <w:tcW w:w="1675" w:type="dxa"/>
            <w:gridSpan w:val="2"/>
            <w:tcBorders/>
            <w:shd w:fill="auto" w:val="clear"/>
            <w:vAlign w:val="center"/>
          </w:tcPr>
          <w:p>
            <w:pPr>
              <w:pStyle w:val="MsoNormal"/>
              <w:spacing w:before="0" w:after="140"/>
              <w:jc w:val="center"/>
              <w:rPr>
                <w:color w:val="000000"/>
              </w:rPr>
            </w:pPr>
            <w:r>
              <w:rPr>
                <w:color w:val="000000"/>
              </w:rPr>
              <w:t> </w:t>
            </w:r>
          </w:p>
        </w:tc>
        <w:tc>
          <w:tcPr>
            <w:tcW w:w="105" w:type="dxa"/>
            <w:tcBorders/>
            <w:shd w:fill="auto" w:val="clear"/>
            <w:vAlign w:val="center"/>
          </w:tcPr>
          <w:p>
            <w:pPr>
              <w:pStyle w:val="MsoNormal"/>
              <w:spacing w:before="0" w:after="140"/>
              <w:jc w:val="center"/>
              <w:rPr>
                <w:color w:val="000000"/>
              </w:rPr>
            </w:pPr>
            <w:r>
              <w:rPr>
                <w:color w:val="000000"/>
              </w:rPr>
              <w:t> </w:t>
            </w:r>
          </w:p>
        </w:tc>
        <w:tc>
          <w:tcPr>
            <w:tcW w:w="3553" w:type="dxa"/>
            <w:tcBorders/>
            <w:shd w:fill="auto" w:val="clear"/>
            <w:vAlign w:val="center"/>
          </w:tcPr>
          <w:p>
            <w:pPr>
              <w:pStyle w:val="MsoNormal"/>
              <w:spacing w:before="0" w:after="140"/>
              <w:jc w:val="center"/>
              <w:rPr/>
            </w:pPr>
            <w:r>
              <w:rPr>
                <w:color w:val="000000"/>
              </w:rPr>
              <w:t>Брюханов Володимир Iгорович</w:t>
            </w:r>
          </w:p>
        </w:tc>
      </w:tr>
      <w:tr>
        <w:trPr/>
        <w:tc>
          <w:tcPr>
            <w:tcW w:w="430" w:type="dxa"/>
            <w:tcBorders/>
            <w:shd w:fill="auto" w:val="clear"/>
            <w:vAlign w:val="center"/>
          </w:tcPr>
          <w:p>
            <w:pPr>
              <w:pStyle w:val="Style17"/>
              <w:rPr>
                <w:sz w:val="4"/>
                <w:szCs w:val="4"/>
              </w:rPr>
            </w:pPr>
            <w:r>
              <w:rPr>
                <w:sz w:val="4"/>
                <w:szCs w:val="4"/>
              </w:rPr>
            </w:r>
          </w:p>
        </w:tc>
        <w:tc>
          <w:tcPr>
            <w:tcW w:w="4297" w:type="dxa"/>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(посада)</w:t>
            </w:r>
          </w:p>
        </w:tc>
        <w:tc>
          <w:tcPr>
            <w:tcW w:w="144" w:type="dxa"/>
            <w:tcBorders/>
            <w:shd w:fill="auto" w:val="clear"/>
            <w:vAlign w:val="center"/>
          </w:tcPr>
          <w:p>
            <w:pPr>
              <w:pStyle w:val="MsoNormal"/>
              <w:spacing w:before="0" w:after="140"/>
              <w:jc w:val="center"/>
              <w:rPr>
                <w:color w:val="000000"/>
              </w:rPr>
            </w:pPr>
            <w:r>
              <w:rPr>
                <w:color w:val="000000"/>
              </w:rPr>
              <w:t> </w:t>
            </w:r>
          </w:p>
        </w:tc>
        <w:tc>
          <w:tcPr>
            <w:tcW w:w="1675" w:type="dxa"/>
            <w:gridSpan w:val="2"/>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(підпис)</w:t>
            </w:r>
          </w:p>
        </w:tc>
        <w:tc>
          <w:tcPr>
            <w:tcW w:w="105" w:type="dxa"/>
            <w:tcBorders/>
            <w:shd w:fill="auto" w:val="clear"/>
            <w:vAlign w:val="center"/>
          </w:tcPr>
          <w:p>
            <w:pPr>
              <w:pStyle w:val="MsoNormal"/>
              <w:spacing w:before="0" w:after="140"/>
              <w:jc w:val="center"/>
              <w:rPr>
                <w:color w:val="000000"/>
              </w:rPr>
            </w:pPr>
            <w:r>
              <w:rPr>
                <w:color w:val="000000"/>
              </w:rPr>
              <w:t> </w:t>
            </w:r>
          </w:p>
        </w:tc>
        <w:tc>
          <w:tcPr>
            <w:tcW w:w="3553" w:type="dxa"/>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(прізвище та ініціали керівника)</w:t>
            </w:r>
          </w:p>
        </w:tc>
      </w:tr>
    </w:tbl>
    <w:p>
      <w:pPr>
        <w:pStyle w:val="MsoNormal"/>
        <w:rPr>
          <w:color w:val="000000"/>
        </w:rPr>
      </w:pPr>
      <w:r>
        <w:rPr>
          <w:color w:val="000000"/>
        </w:rPr>
        <w:t> </w:t>
      </w:r>
    </w:p>
    <w:p>
      <w:pPr>
        <w:pStyle w:val="4"/>
        <w:jc w:val="center"/>
        <w:rPr>
          <w:color w:val="000000"/>
        </w:rPr>
      </w:pPr>
      <w:r>
        <w:rPr>
          <w:color w:val="000000"/>
        </w:rPr>
        <w:t>Особлива інформація (інформація про іпотечні цінні папери, сертифікати фонду операцій з нерухомістю) емітента</w:t>
      </w:r>
    </w:p>
    <w:p>
      <w:pPr>
        <w:pStyle w:val="4"/>
        <w:rPr>
          <w:color w:val="000000"/>
        </w:rPr>
      </w:pPr>
      <w:r>
        <w:rPr>
          <w:color w:val="000000"/>
        </w:rPr>
        <w:t>I. Загальні відомості</w:t>
      </w:r>
    </w:p>
    <w:tbl>
      <w:tblPr>
        <w:tblW w:w="5000" w:type="pct"/>
        <w:jc w:val="left"/>
        <w:tblInd w:w="0" w:type="dxa"/>
        <w:tblBorders/>
        <w:tblCellMar>
          <w:top w:w="0" w:type="dxa"/>
          <w:left w:w="0" w:type="dxa"/>
          <w:bottom w:w="0" w:type="dxa"/>
          <w:right w:w="0" w:type="dxa"/>
        </w:tblCellMar>
      </w:tblPr>
      <w:tblGrid>
        <w:gridCol w:w="10205"/>
      </w:tblGrid>
      <w:tr>
        <w:trPr/>
        <w:tc>
          <w:tcPr>
            <w:tcW w:w="10205" w:type="dxa"/>
            <w:tcBorders/>
            <w:shd w:fill="auto" w:val="clear"/>
            <w:vAlign w:val="center"/>
          </w:tcPr>
          <w:p>
            <w:pPr>
              <w:pStyle w:val="MsoNormal"/>
              <w:spacing w:before="0" w:after="140"/>
              <w:rPr>
                <w:color w:val="000000"/>
              </w:rPr>
            </w:pPr>
            <w:r>
              <w:rPr>
                <w:color w:val="000000"/>
              </w:rPr>
              <w:t>1. Повне найменування емітента</w:t>
            </w:r>
          </w:p>
        </w:tc>
      </w:tr>
      <w:tr>
        <w:trPr/>
        <w:tc>
          <w:tcPr>
            <w:tcW w:w="10205" w:type="dxa"/>
            <w:tcBorders/>
            <w:shd w:fill="auto" w:val="clear"/>
            <w:vAlign w:val="center"/>
          </w:tcPr>
          <w:p>
            <w:pPr>
              <w:pStyle w:val="MsoNormal"/>
              <w:spacing w:before="0" w:after="140"/>
              <w:jc w:val="center"/>
              <w:rPr>
                <w:i/>
                <w:i/>
                <w:color w:val="000000"/>
              </w:rPr>
            </w:pPr>
            <w:r>
              <w:rPr>
                <w:i/>
                <w:color w:val="000000"/>
              </w:rPr>
              <w:t>Приватне акцiонерне товариство "Вовчанський олiйноекстракцiйний завод"</w:t>
            </w:r>
          </w:p>
        </w:tc>
      </w:tr>
      <w:tr>
        <w:trPr/>
        <w:tc>
          <w:tcPr>
            <w:tcW w:w="10205" w:type="dxa"/>
            <w:tcBorders/>
            <w:shd w:fill="auto" w:val="clear"/>
            <w:vAlign w:val="center"/>
          </w:tcPr>
          <w:p>
            <w:pPr>
              <w:pStyle w:val="MsoNormal"/>
              <w:spacing w:before="0" w:after="140"/>
              <w:rPr>
                <w:color w:val="000000"/>
              </w:rPr>
            </w:pPr>
            <w:r>
              <w:rPr>
                <w:color w:val="000000"/>
              </w:rPr>
              <w:t>2. Організаційно-правова форма</w:t>
            </w:r>
          </w:p>
        </w:tc>
      </w:tr>
      <w:tr>
        <w:trPr/>
        <w:tc>
          <w:tcPr>
            <w:tcW w:w="10205" w:type="dxa"/>
            <w:tcBorders/>
            <w:shd w:fill="auto" w:val="clear"/>
            <w:vAlign w:val="center"/>
          </w:tcPr>
          <w:p>
            <w:pPr>
              <w:pStyle w:val="MsoNormal"/>
              <w:spacing w:before="0" w:after="140"/>
              <w:jc w:val="center"/>
              <w:rPr>
                <w:color w:val="000000"/>
              </w:rPr>
            </w:pPr>
            <w:r>
              <w:rPr>
                <w:color w:val="000000"/>
              </w:rPr>
              <w:t>Приватне акціонерне товариство</w:t>
            </w:r>
          </w:p>
        </w:tc>
      </w:tr>
      <w:tr>
        <w:trPr/>
        <w:tc>
          <w:tcPr>
            <w:tcW w:w="10205" w:type="dxa"/>
            <w:tcBorders/>
            <w:shd w:fill="auto" w:val="clear"/>
            <w:vAlign w:val="center"/>
          </w:tcPr>
          <w:p>
            <w:pPr>
              <w:pStyle w:val="MsoNormal"/>
              <w:spacing w:before="0" w:after="140"/>
              <w:rPr>
                <w:color w:val="000000"/>
              </w:rPr>
            </w:pPr>
            <w:r>
              <w:rPr>
                <w:color w:val="000000"/>
              </w:rPr>
              <w:t>3. Місцезнаходження</w:t>
            </w:r>
          </w:p>
        </w:tc>
      </w:tr>
      <w:tr>
        <w:trPr/>
        <w:tc>
          <w:tcPr>
            <w:tcW w:w="10205" w:type="dxa"/>
            <w:tcBorders/>
            <w:shd w:fill="auto" w:val="clear"/>
            <w:vAlign w:val="center"/>
          </w:tcPr>
          <w:p>
            <w:pPr>
              <w:pStyle w:val="MsoNormal"/>
              <w:spacing w:before="0" w:after="140"/>
              <w:jc w:val="center"/>
              <w:rPr>
                <w:color w:val="000000"/>
              </w:rPr>
            </w:pPr>
            <w:r>
              <w:rPr>
                <w:color w:val="000000"/>
              </w:rPr>
              <w:t>62504, Харківська обл., Харкiвська область, м.Вовчанськ, пл.Привокзальна,11</w:t>
            </w:r>
          </w:p>
        </w:tc>
      </w:tr>
      <w:tr>
        <w:trPr/>
        <w:tc>
          <w:tcPr>
            <w:tcW w:w="10205" w:type="dxa"/>
            <w:tcBorders/>
            <w:shd w:fill="auto" w:val="clear"/>
            <w:vAlign w:val="center"/>
          </w:tcPr>
          <w:p>
            <w:pPr>
              <w:pStyle w:val="MsoNormal"/>
              <w:spacing w:before="0" w:after="140"/>
              <w:rPr>
                <w:color w:val="000000"/>
              </w:rPr>
            </w:pPr>
            <w:r>
              <w:rPr>
                <w:color w:val="000000"/>
              </w:rPr>
              <w:t>4. Ідентифікаційний код юридичної особи</w:t>
            </w:r>
          </w:p>
        </w:tc>
      </w:tr>
      <w:tr>
        <w:trPr/>
        <w:tc>
          <w:tcPr>
            <w:tcW w:w="10205" w:type="dxa"/>
            <w:tcBorders/>
            <w:shd w:fill="auto" w:val="clear"/>
            <w:vAlign w:val="center"/>
          </w:tcPr>
          <w:p>
            <w:pPr>
              <w:pStyle w:val="MsoNormal"/>
              <w:spacing w:before="0" w:after="140"/>
              <w:jc w:val="center"/>
              <w:rPr>
                <w:color w:val="000000"/>
              </w:rPr>
            </w:pPr>
            <w:r>
              <w:rPr>
                <w:color w:val="000000"/>
              </w:rPr>
              <w:t>00373936</w:t>
            </w:r>
          </w:p>
        </w:tc>
      </w:tr>
      <w:tr>
        <w:trPr/>
        <w:tc>
          <w:tcPr>
            <w:tcW w:w="10205" w:type="dxa"/>
            <w:tcBorders/>
            <w:shd w:fill="auto" w:val="clear"/>
            <w:vAlign w:val="center"/>
          </w:tcPr>
          <w:p>
            <w:pPr>
              <w:pStyle w:val="MsoNormal"/>
              <w:spacing w:before="0" w:after="140"/>
              <w:rPr>
                <w:color w:val="000000"/>
              </w:rPr>
            </w:pPr>
            <w:r>
              <w:rPr>
                <w:color w:val="000000"/>
              </w:rPr>
              <w:t>5. Міжміський код та телефон, факс</w:t>
            </w:r>
          </w:p>
        </w:tc>
      </w:tr>
      <w:tr>
        <w:trPr/>
        <w:tc>
          <w:tcPr>
            <w:tcW w:w="10205" w:type="dxa"/>
            <w:tcBorders/>
            <w:shd w:fill="auto" w:val="clear"/>
            <w:vAlign w:val="center"/>
          </w:tcPr>
          <w:p>
            <w:pPr>
              <w:pStyle w:val="MsoNormal"/>
              <w:spacing w:before="0" w:after="140"/>
              <w:jc w:val="center"/>
              <w:rPr>
                <w:color w:val="000000"/>
              </w:rPr>
            </w:pPr>
            <w:r>
              <w:rPr>
                <w:color w:val="000000"/>
              </w:rPr>
              <w:t>(05741) 4-22-39, 4-22-39</w:t>
            </w:r>
          </w:p>
        </w:tc>
      </w:tr>
      <w:tr>
        <w:trPr/>
        <w:tc>
          <w:tcPr>
            <w:tcW w:w="10205" w:type="dxa"/>
            <w:tcBorders/>
            <w:shd w:fill="auto" w:val="clear"/>
            <w:vAlign w:val="center"/>
          </w:tcPr>
          <w:p>
            <w:pPr>
              <w:pStyle w:val="MsoNormal"/>
              <w:spacing w:before="0" w:after="140"/>
              <w:rPr>
                <w:color w:val="000000"/>
              </w:rPr>
            </w:pPr>
            <w:r>
              <w:rPr>
                <w:color w:val="000000"/>
              </w:rPr>
              <w:t>6. Адреса електронної пошти</w:t>
            </w:r>
          </w:p>
        </w:tc>
      </w:tr>
      <w:tr>
        <w:trPr/>
        <w:tc>
          <w:tcPr>
            <w:tcW w:w="10205" w:type="dxa"/>
            <w:tcBorders/>
            <w:shd w:fill="auto" w:val="clear"/>
            <w:vAlign w:val="center"/>
          </w:tcPr>
          <w:p>
            <w:pPr>
              <w:pStyle w:val="MsoNormal"/>
              <w:spacing w:before="0" w:after="140"/>
              <w:jc w:val="center"/>
              <w:rPr>
                <w:color w:val="000000"/>
              </w:rPr>
            </w:pPr>
            <w:r>
              <w:rPr>
                <w:color w:val="000000"/>
              </w:rPr>
              <w:t>a.kaminskiy@kernel.ua</w:t>
            </w:r>
          </w:p>
        </w:tc>
      </w:tr>
      <w:tr>
        <w:trPr/>
        <w:tc>
          <w:tcPr>
            <w:tcW w:w="10205" w:type="dxa"/>
            <w:tcBorders/>
            <w:shd w:fill="auto" w:val="clear"/>
            <w:vAlign w:val="center"/>
          </w:tcPr>
          <w:p>
            <w:pPr>
              <w:pStyle w:val="Style17"/>
              <w:rPr>
                <w:sz w:val="4"/>
                <w:szCs w:val="4"/>
              </w:rPr>
            </w:pPr>
            <w:r>
              <w:rPr>
                <w:sz w:val="4"/>
                <w:szCs w:val="4"/>
              </w:rPr>
            </w:r>
          </w:p>
        </w:tc>
      </w:tr>
      <w:tr>
        <w:trPr/>
        <w:tc>
          <w:tcPr>
            <w:tcW w:w="10205" w:type="dxa"/>
            <w:tcBorders/>
            <w:shd w:fill="auto" w:val="clear"/>
            <w:vAlign w:val="center"/>
          </w:tcPr>
          <w:p>
            <w:pPr>
              <w:pStyle w:val="MsoNormal"/>
              <w:spacing w:before="0" w:after="140"/>
              <w:rPr>
                <w:color w:val="000000"/>
              </w:rPr>
            </w:pPr>
            <w:r>
              <w:rPr>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rPr/>
        <w:tc>
          <w:tcPr>
            <w:tcW w:w="10205" w:type="dxa"/>
            <w:tcBorders/>
            <w:shd w:fill="auto" w:val="clear"/>
            <w:vAlign w:val="center"/>
          </w:tcPr>
          <w:p>
            <w:pPr>
              <w:pStyle w:val="MsoNormal"/>
              <w:spacing w:before="0" w:after="140"/>
              <w:jc w:val="center"/>
              <w:rPr/>
            </w:pPr>
            <w:r>
              <w:rPr>
                <w:color w:val="000000"/>
              </w:rPr>
              <w:t>Державна установа "Агентство з розвитку iнфраструктури фондового ринку України"</w:t>
              <w:br/>
              <w:t>21676262, УКРАЇНА , 804, DR/00001/APA</w:t>
            </w:r>
          </w:p>
        </w:tc>
      </w:tr>
      <w:tr>
        <w:trPr/>
        <w:tc>
          <w:tcPr>
            <w:tcW w:w="10205" w:type="dxa"/>
            <w:tcBorders/>
            <w:shd w:fill="auto" w:val="clear"/>
            <w:vAlign w:val="center"/>
          </w:tcPr>
          <w:p>
            <w:pPr>
              <w:pStyle w:val="Style17"/>
              <w:rPr>
                <w:sz w:val="4"/>
                <w:szCs w:val="4"/>
              </w:rPr>
            </w:pPr>
            <w:r>
              <w:rPr>
                <w:sz w:val="4"/>
                <w:szCs w:val="4"/>
              </w:rPr>
            </w:r>
          </w:p>
        </w:tc>
      </w:tr>
    </w:tbl>
    <w:p>
      <w:pPr>
        <w:pStyle w:val="MsoNormal"/>
        <w:rPr>
          <w:color w:val="000000"/>
        </w:rPr>
      </w:pPr>
      <w:r>
        <w:rPr>
          <w:color w:val="000000"/>
        </w:rPr>
        <w:t> </w:t>
      </w:r>
    </w:p>
    <w:p>
      <w:pPr>
        <w:pStyle w:val="4"/>
        <w:rPr>
          <w:color w:val="000000"/>
        </w:rPr>
      </w:pPr>
      <w:r>
        <w:rPr>
          <w:color w:val="000000"/>
        </w:rPr>
        <w:t>II. Дані про дату та місце оприлюднення Повідомлення (Повідомлення про інформацію)</w:t>
      </w:r>
    </w:p>
    <w:tbl>
      <w:tblPr>
        <w:tblW w:w="5000" w:type="pct"/>
        <w:jc w:val="left"/>
        <w:tblInd w:w="0" w:type="dxa"/>
        <w:tblBorders/>
        <w:tblCellMar>
          <w:top w:w="0" w:type="dxa"/>
          <w:left w:w="0" w:type="dxa"/>
          <w:bottom w:w="0" w:type="dxa"/>
          <w:right w:w="0" w:type="dxa"/>
        </w:tblCellMar>
      </w:tblPr>
      <w:tblGrid>
        <w:gridCol w:w="4650"/>
        <w:gridCol w:w="4023"/>
        <w:gridCol w:w="177"/>
        <w:gridCol w:w="1354"/>
      </w:tblGrid>
      <w:tr>
        <w:trPr/>
        <w:tc>
          <w:tcPr>
            <w:tcW w:w="4650" w:type="dxa"/>
            <w:tcBorders/>
            <w:shd w:fill="auto" w:val="clear"/>
            <w:vAlign w:val="center"/>
          </w:tcPr>
          <w:p>
            <w:pPr>
              <w:pStyle w:val="MsoNormal"/>
              <w:spacing w:before="0" w:after="140"/>
              <w:rPr>
                <w:color w:val="000000"/>
              </w:rPr>
            </w:pPr>
            <w:r>
              <w:rPr>
                <w:color w:val="000000"/>
              </w:rPr>
              <w:t>Повідомлення розміщено на власному веб-сайті учасника фондового ринку</w:t>
            </w:r>
          </w:p>
        </w:tc>
        <w:tc>
          <w:tcPr>
            <w:tcW w:w="4023" w:type="dxa"/>
            <w:tcBorders/>
            <w:shd w:fill="auto" w:val="clear"/>
            <w:vAlign w:val="center"/>
          </w:tcPr>
          <w:p>
            <w:pPr>
              <w:pStyle w:val="MsoNormal"/>
              <w:spacing w:before="0" w:after="140"/>
              <w:jc w:val="center"/>
              <w:rPr>
                <w:color w:val="000000"/>
              </w:rPr>
            </w:pPr>
            <w:r>
              <w:rPr>
                <w:color w:val="000000"/>
              </w:rPr>
              <w:t>http://00373936.infosite.com.ua/</w:t>
            </w:r>
          </w:p>
        </w:tc>
        <w:tc>
          <w:tcPr>
            <w:tcW w:w="177" w:type="dxa"/>
            <w:tcBorders/>
            <w:shd w:fill="auto" w:val="clear"/>
            <w:vAlign w:val="center"/>
          </w:tcPr>
          <w:p>
            <w:pPr>
              <w:pStyle w:val="MsoNormal"/>
              <w:spacing w:before="0" w:after="140"/>
              <w:jc w:val="center"/>
              <w:rPr>
                <w:color w:val="000000"/>
              </w:rPr>
            </w:pPr>
            <w:r>
              <w:rPr>
                <w:color w:val="000000"/>
              </w:rPr>
              <w:t> </w:t>
            </w:r>
          </w:p>
        </w:tc>
        <w:tc>
          <w:tcPr>
            <w:tcW w:w="1354" w:type="dxa"/>
            <w:tcBorders/>
            <w:shd w:fill="auto" w:val="clear"/>
            <w:vAlign w:val="center"/>
          </w:tcPr>
          <w:p>
            <w:pPr>
              <w:pStyle w:val="MsoNormal"/>
              <w:spacing w:before="0" w:after="140"/>
              <w:jc w:val="center"/>
              <w:rPr>
                <w:color w:val="000000"/>
              </w:rPr>
            </w:pPr>
            <w:r>
              <w:rPr>
                <w:color w:val="000000"/>
              </w:rPr>
              <w:t>2</w:t>
            </w:r>
            <w:r>
              <w:rPr>
                <w:color w:val="000000"/>
              </w:rPr>
              <w:t>9</w:t>
            </w:r>
            <w:r>
              <w:rPr>
                <w:color w:val="000000"/>
              </w:rPr>
              <w:t>.08.2019</w:t>
            </w:r>
          </w:p>
        </w:tc>
      </w:tr>
      <w:tr>
        <w:trPr/>
        <w:tc>
          <w:tcPr>
            <w:tcW w:w="4650" w:type="dxa"/>
            <w:tcBorders/>
            <w:shd w:fill="auto" w:val="clear"/>
            <w:vAlign w:val="center"/>
          </w:tcPr>
          <w:p>
            <w:pPr>
              <w:pStyle w:val="Style17"/>
              <w:rPr>
                <w:sz w:val="4"/>
                <w:szCs w:val="4"/>
              </w:rPr>
            </w:pPr>
            <w:r>
              <w:rPr>
                <w:sz w:val="4"/>
                <w:szCs w:val="4"/>
              </w:rPr>
            </w:r>
          </w:p>
        </w:tc>
        <w:tc>
          <w:tcPr>
            <w:tcW w:w="4023" w:type="dxa"/>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(адреса сторінки)</w:t>
            </w:r>
          </w:p>
        </w:tc>
        <w:tc>
          <w:tcPr>
            <w:tcW w:w="177" w:type="dxa"/>
            <w:tcBorders/>
            <w:shd w:fill="auto" w:val="clear"/>
            <w:vAlign w:val="center"/>
          </w:tcPr>
          <w:p>
            <w:pPr>
              <w:pStyle w:val="Style17"/>
              <w:rPr>
                <w:sz w:val="4"/>
                <w:szCs w:val="4"/>
              </w:rPr>
            </w:pPr>
            <w:r>
              <w:rPr>
                <w:sz w:val="4"/>
                <w:szCs w:val="4"/>
              </w:rPr>
            </w:r>
          </w:p>
        </w:tc>
        <w:tc>
          <w:tcPr>
            <w:tcW w:w="1354" w:type="dxa"/>
            <w:tcBorders>
              <w:top w:val="single" w:sz="8" w:space="0" w:color="CCCCCC"/>
            </w:tcBorders>
            <w:shd w:fill="auto" w:val="clear"/>
            <w:tcMar>
              <w:top w:w="28" w:type="dxa"/>
            </w:tcMar>
            <w:vAlign w:val="center"/>
          </w:tcPr>
          <w:p>
            <w:pPr>
              <w:pStyle w:val="MsoNormal"/>
              <w:spacing w:before="0" w:after="140"/>
              <w:jc w:val="center"/>
              <w:rPr>
                <w:color w:val="000000"/>
                <w:sz w:val="20"/>
              </w:rPr>
            </w:pPr>
            <w:r>
              <w:rPr>
                <w:color w:val="000000"/>
                <w:sz w:val="20"/>
              </w:rPr>
              <w:t>(дата)</w:t>
            </w:r>
          </w:p>
        </w:tc>
      </w:tr>
    </w:tbl>
    <w:p>
      <w:pPr>
        <w:pStyle w:val="3"/>
        <w:rPr>
          <w:color w:val="000000"/>
        </w:rPr>
      </w:pPr>
      <w:r>
        <w:rPr/>
        <w:commentReference w:id="7"/>
      </w:r>
      <w:r>
        <w:rPr/>
        <w:commentReference w:id="8"/>
      </w:r>
      <w:r>
        <w:rPr/>
        <w:commentReference w:id="9"/>
      </w:r>
      <w:r>
        <w:rPr/>
        <w:commentReference w:id="10"/>
      </w:r>
      <w:r>
        <w:rPr/>
        <w:commentReference w:id="11"/>
      </w:r>
      <w:r>
        <w:rPr/>
        <w:commentReference w:id="12"/>
      </w:r>
      <w:r>
        <w:rPr/>
        <w:commentReference w:id="13"/>
      </w:r>
      <w:r>
        <w:rPr/>
        <w:commentReference w:id="14"/>
      </w:r>
      <w:r>
        <w:rPr/>
        <w:commentReference w:id="15"/>
      </w:r>
      <w:r>
        <w:rPr/>
        <w:commentReference w:id="16"/>
      </w:r>
      <w:r>
        <w:rPr/>
        <w:commentReference w:id="17"/>
      </w:r>
      <w:r>
        <w:rPr/>
        <w:commentReference w:id="18"/>
      </w:r>
      <w:r>
        <w:rPr/>
        <w:commentReference w:id="19"/>
      </w:r>
      <w:r>
        <w:rPr/>
        <w:commentReference w:id="20"/>
      </w:r>
      <w:r>
        <w:rPr/>
        <w:commentReference w:id="21"/>
      </w:r>
      <w:r>
        <w:rPr/>
        <w:commentReference w:id="22"/>
      </w:r>
      <w:r>
        <w:rPr/>
        <w:commentReference w:id="23"/>
      </w:r>
      <w:r>
        <w:rPr/>
        <w:commentReference w:id="24"/>
      </w:r>
      <w:r>
        <w:rPr/>
        <w:commentReference w:id="25"/>
      </w:r>
      <w:r>
        <w:rPr/>
        <w:commentReference w:id="26"/>
      </w:r>
      <w:r>
        <w:rPr/>
        <w:commentReference w:id="27"/>
      </w:r>
      <w:r>
        <w:rPr/>
        <w:commentReference w:id="28"/>
      </w:r>
      <w:r>
        <w:rPr/>
        <w:commentReference w:id="29"/>
      </w:r>
      <w:r>
        <w:rPr/>
        <w:commentReference w:id="30"/>
      </w:r>
      <w:r>
        <w:rPr/>
        <w:commentReference w:id="31"/>
      </w:r>
      <w:r>
        <w:rPr/>
        <w:commentReference w:id="32"/>
      </w:r>
      <w:r>
        <w:rPr/>
        <w:commentReference w:id="33"/>
      </w:r>
      <w:r>
        <w:rPr/>
        <w:commentReference w:id="34"/>
      </w:r>
      <w:r>
        <w:rPr/>
        <w:commentReference w:id="35"/>
      </w:r>
      <w:r>
        <w:rPr/>
        <w:commentReference w:id="36"/>
      </w:r>
      <w:r>
        <w:rPr/>
        <w:commentReference w:id="37"/>
      </w:r>
      <w:r>
        <w:rPr/>
        <w:commentReference w:id="38"/>
      </w:r>
      <w:r>
        <w:rPr/>
        <w:commentReference w:id="39"/>
      </w:r>
      <w:r>
        <w:rPr/>
        <w:commentReference w:id="40"/>
      </w:r>
      <w:r>
        <w:rPr>
          <w:color w:val="000000"/>
        </w:rPr>
        <w:t>Відомості про прийняття рішення про надання згоди на вчинення значних правочинів</w:t>
      </w:r>
    </w:p>
    <w:tbl>
      <w:tblPr>
        <w:tblW w:w="5000" w:type="pct"/>
        <w:jc w:val="lef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28" w:type="dxa"/>
          <w:bottom w:w="28" w:type="dxa"/>
          <w:right w:w="28" w:type="dxa"/>
        </w:tblCellMar>
      </w:tblPr>
      <w:tblGrid>
        <w:gridCol w:w="490"/>
        <w:gridCol w:w="1218"/>
        <w:gridCol w:w="1957"/>
        <w:gridCol w:w="1579"/>
        <w:gridCol w:w="1833"/>
        <w:gridCol w:w="3127"/>
      </w:tblGrid>
      <w:tr>
        <w:trPr>
          <w:tblHeader w:val="true"/>
        </w:trPr>
        <w:tc>
          <w:tcPr>
            <w:tcW w:w="4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center"/>
          </w:tcPr>
          <w:p>
            <w:pPr>
              <w:pStyle w:val="MsoNormal"/>
              <w:spacing w:before="0" w:after="140"/>
              <w:jc w:val="center"/>
              <w:rPr>
                <w:color w:val="000000"/>
              </w:rPr>
            </w:pPr>
            <w:r>
              <w:rPr>
                <w:color w:val="000000"/>
              </w:rPr>
              <w:t xml:space="preserve">№ </w:t>
            </w:r>
            <w:r>
              <w:rPr>
                <w:b/>
                <w:color w:val="000000"/>
              </w:rPr>
              <w:t>з/п</w:t>
            </w:r>
          </w:p>
        </w:tc>
        <w:tc>
          <w:tcPr>
            <w:tcW w:w="121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left w:w="0" w:type="dxa"/>
            </w:tcMar>
            <w:vAlign w:val="center"/>
          </w:tcPr>
          <w:p>
            <w:pPr>
              <w:pStyle w:val="MsoNormal"/>
              <w:spacing w:before="0" w:after="140"/>
              <w:jc w:val="center"/>
              <w:rPr>
                <w:b/>
                <w:b/>
                <w:color w:val="000000"/>
              </w:rPr>
            </w:pPr>
            <w:r>
              <w:rPr>
                <w:b/>
                <w:color w:val="000000"/>
              </w:rPr>
              <w:t>Дата прийняття рішення</w:t>
            </w:r>
          </w:p>
        </w:tc>
        <w:tc>
          <w:tcPr>
            <w:tcW w:w="195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left w:w="0" w:type="dxa"/>
            </w:tcMar>
            <w:vAlign w:val="center"/>
          </w:tcPr>
          <w:p>
            <w:pPr>
              <w:pStyle w:val="MsoNormal"/>
              <w:spacing w:before="0" w:after="140"/>
              <w:jc w:val="center"/>
              <w:rPr>
                <w:b/>
                <w:b/>
                <w:color w:val="000000"/>
              </w:rPr>
            </w:pPr>
            <w:r>
              <w:rPr>
                <w:b/>
                <w:color w:val="000000"/>
              </w:rPr>
              <w:t>Ринкова вартість майна або послуг, що є предметом правочину (тис. грн)</w:t>
            </w:r>
          </w:p>
        </w:tc>
        <w:tc>
          <w:tcPr>
            <w:tcW w:w="157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left w:w="0" w:type="dxa"/>
            </w:tcMar>
            <w:vAlign w:val="center"/>
          </w:tcPr>
          <w:p>
            <w:pPr>
              <w:pStyle w:val="MsoNormal"/>
              <w:spacing w:before="0" w:after="140"/>
              <w:jc w:val="center"/>
              <w:rPr>
                <w:b/>
                <w:b/>
                <w:color w:val="000000"/>
              </w:rPr>
            </w:pPr>
            <w:r>
              <w:rPr>
                <w:b/>
                <w:color w:val="000000"/>
              </w:rPr>
              <w:t>Вартість активів емітента за даними останньої річної фінансової звітності (тис. грн)</w:t>
            </w:r>
          </w:p>
        </w:tc>
        <w:tc>
          <w:tcPr>
            <w:tcW w:w="183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left w:w="0" w:type="dxa"/>
            </w:tcMar>
            <w:vAlign w:val="center"/>
          </w:tcPr>
          <w:p>
            <w:pPr>
              <w:pStyle w:val="MsoNormal"/>
              <w:spacing w:before="0" w:after="140"/>
              <w:jc w:val="center"/>
              <w:rPr>
                <w:b/>
                <w:b/>
                <w:color w:val="000000"/>
              </w:rPr>
            </w:pPr>
            <w:r>
              <w:rPr>
                <w:b/>
                <w:color w:val="00000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w:t>
            </w:r>
          </w:p>
        </w:tc>
        <w:tc>
          <w:tcPr>
            <w:tcW w:w="312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left w:w="0" w:type="dxa"/>
            </w:tcMar>
            <w:vAlign w:val="center"/>
          </w:tcPr>
          <w:p>
            <w:pPr>
              <w:pStyle w:val="MsoNormal"/>
              <w:spacing w:before="0" w:after="140"/>
              <w:jc w:val="center"/>
              <w:rPr>
                <w:b/>
                <w:b/>
                <w:color w:val="000000"/>
              </w:rPr>
            </w:pPr>
            <w:r>
              <w:rPr>
                <w:b/>
                <w:color w:val="000000"/>
              </w:rPr>
              <w:t xml:space="preserve">Адреса сторінки власного веб-сайту, на якій розміщений протокол загальних зборів акціонерів/засідання наглядової ради, на яких/якому прийняте рішення </w:t>
            </w:r>
          </w:p>
        </w:tc>
      </w:tr>
      <w:tr>
        <w:trPr>
          <w:tblHeader w:val="true"/>
        </w:trPr>
        <w:tc>
          <w:tcPr>
            <w:tcW w:w="4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tcMar>
            <w:vAlign w:val="center"/>
          </w:tcPr>
          <w:p>
            <w:pPr>
              <w:pStyle w:val="MsoNormal"/>
              <w:spacing w:before="0" w:after="140"/>
              <w:jc w:val="center"/>
              <w:rPr>
                <w:b/>
                <w:b/>
                <w:color w:val="000000"/>
              </w:rPr>
            </w:pPr>
            <w:r>
              <w:rPr>
                <w:b/>
                <w:color w:val="000000"/>
              </w:rPr>
              <w:t>1</w:t>
            </w:r>
          </w:p>
        </w:tc>
        <w:tc>
          <w:tcPr>
            <w:tcW w:w="121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b/>
                <w:b/>
                <w:color w:val="000000"/>
              </w:rPr>
            </w:pPr>
            <w:r>
              <w:rPr>
                <w:b/>
                <w:color w:val="000000"/>
              </w:rPr>
              <w:t>2</w:t>
            </w:r>
          </w:p>
        </w:tc>
        <w:tc>
          <w:tcPr>
            <w:tcW w:w="195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b/>
                <w:b/>
                <w:color w:val="000000"/>
              </w:rPr>
            </w:pPr>
            <w:r>
              <w:rPr>
                <w:b/>
                <w:color w:val="000000"/>
              </w:rPr>
              <w:t>3</w:t>
            </w:r>
          </w:p>
        </w:tc>
        <w:tc>
          <w:tcPr>
            <w:tcW w:w="157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b/>
                <w:b/>
                <w:color w:val="000000"/>
              </w:rPr>
            </w:pPr>
            <w:r>
              <w:rPr>
                <w:b/>
                <w:color w:val="000000"/>
              </w:rPr>
              <w:t>4</w:t>
            </w:r>
          </w:p>
        </w:tc>
        <w:tc>
          <w:tcPr>
            <w:tcW w:w="183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b/>
                <w:b/>
                <w:color w:val="000000"/>
              </w:rPr>
            </w:pPr>
            <w:r>
              <w:rPr>
                <w:b/>
                <w:color w:val="000000"/>
              </w:rPr>
              <w:t>5</w:t>
            </w:r>
          </w:p>
        </w:tc>
        <w:tc>
          <w:tcPr>
            <w:tcW w:w="312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b/>
                <w:b/>
                <w:color w:val="000000"/>
              </w:rPr>
            </w:pPr>
            <w:r>
              <w:rPr>
                <w:b/>
                <w:color w:val="000000"/>
              </w:rPr>
              <w:t>6</w:t>
            </w:r>
          </w:p>
        </w:tc>
      </w:tr>
      <w:tr>
        <w:trPr/>
        <w:tc>
          <w:tcPr>
            <w:tcW w:w="4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tcMar>
            <w:vAlign w:val="center"/>
          </w:tcPr>
          <w:p>
            <w:pPr>
              <w:pStyle w:val="MsoNormal"/>
              <w:spacing w:before="0" w:after="140"/>
              <w:jc w:val="center"/>
              <w:rPr>
                <w:color w:val="000000"/>
              </w:rPr>
            </w:pPr>
            <w:r>
              <w:rPr>
                <w:color w:val="000000"/>
              </w:rPr>
              <w:t>1</w:t>
            </w:r>
          </w:p>
        </w:tc>
        <w:tc>
          <w:tcPr>
            <w:tcW w:w="1218"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color w:val="000000"/>
              </w:rPr>
            </w:pPr>
            <w:r>
              <w:rPr>
                <w:color w:val="000000"/>
              </w:rPr>
              <w:t>28.08.2019</w:t>
            </w:r>
          </w:p>
        </w:tc>
        <w:tc>
          <w:tcPr>
            <w:tcW w:w="195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color w:val="000000"/>
              </w:rPr>
            </w:pPr>
            <w:r>
              <w:rPr>
                <w:color w:val="000000"/>
              </w:rPr>
              <w:t>10065972</w:t>
            </w:r>
          </w:p>
        </w:tc>
        <w:tc>
          <w:tcPr>
            <w:tcW w:w="157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color w:val="000000"/>
              </w:rPr>
            </w:pPr>
            <w:r>
              <w:rPr>
                <w:color w:val="000000"/>
              </w:rPr>
              <w:t>241586</w:t>
            </w:r>
          </w:p>
        </w:tc>
        <w:tc>
          <w:tcPr>
            <w:tcW w:w="183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MsoNormal"/>
              <w:spacing w:before="0" w:after="140"/>
              <w:jc w:val="center"/>
              <w:rPr>
                <w:color w:val="000000"/>
              </w:rPr>
            </w:pPr>
            <w:r>
              <w:rPr>
                <w:color w:val="000000"/>
              </w:rPr>
              <w:t>4166.6</w:t>
            </w:r>
          </w:p>
        </w:tc>
        <w:tc>
          <w:tcPr>
            <w:tcW w:w="3127"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left w:w="0" w:type="dxa"/>
            </w:tcMar>
            <w:vAlign w:val="center"/>
          </w:tcPr>
          <w:p>
            <w:pPr>
              <w:pStyle w:val="Style17"/>
              <w:rPr>
                <w:sz w:val="4"/>
                <w:szCs w:val="4"/>
              </w:rPr>
            </w:pPr>
            <w:r>
              <w:rPr>
                <w:sz w:val="4"/>
                <w:szCs w:val="4"/>
              </w:rPr>
            </w:r>
          </w:p>
        </w:tc>
      </w:tr>
      <w:tr>
        <w:trPr/>
        <w:tc>
          <w:tcPr>
            <w:tcW w:w="10204" w:type="dxa"/>
            <w:gridSpan w:val="6"/>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tcMar>
            <w:vAlign w:val="center"/>
          </w:tcPr>
          <w:p>
            <w:pPr>
              <w:pStyle w:val="MsoNormal"/>
              <w:spacing w:before="0" w:after="140"/>
              <w:rPr>
                <w:b/>
                <w:b/>
                <w:color w:val="000000"/>
              </w:rPr>
            </w:pPr>
            <w:r>
              <w:rPr>
                <w:b/>
                <w:color w:val="000000"/>
              </w:rPr>
              <w:t>Зміст інформації:</w:t>
            </w:r>
          </w:p>
        </w:tc>
      </w:tr>
      <w:tr>
        <w:trPr/>
        <w:tc>
          <w:tcPr>
            <w:tcW w:w="10204" w:type="dxa"/>
            <w:gridSpan w:val="6"/>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Mar>
              <w:top w:w="0" w:type="dxa"/>
            </w:tcMar>
            <w:vAlign w:val="center"/>
          </w:tcPr>
          <w:p>
            <w:pPr>
              <w:pStyle w:val="MsoNormal"/>
              <w:spacing w:before="0" w:after="140"/>
              <w:ind w:left="0" w:right="0" w:firstLine="200"/>
              <w:rPr>
                <w:color w:val="000000"/>
              </w:rPr>
            </w:pPr>
            <w:r>
              <w:rPr>
                <w:color w:val="000000"/>
              </w:rPr>
              <w:t>28.08.2019 на засiданнi наглядової ради ПРАТ "Вовчанський ОЕЗ", надалi - Товариство, емiтент (протокол №б/н вiд 28.08.2019) прийнято рiшення про надання згоди на укладення Товариством договору про внесення змiн та пiдтвердження до договору поруки вiд 16 жовтня 2017 року, зi змiнами, передбаченими договором про пiдтвердження договору поруки вiд 19 жовтня 2018 року, укладеним мiж Товариством як поручителем та АЙЕНДЖI БЕНК Н.В. [ING Bank N.V.] як агентом iз забезпечення (далi – «Договiр про внесення змiн та пiдтвердження Договору Поруки»), яким Товариство, серед iншого, пiдтверджує свої зобов’язання перед кожною Фiнансовою Стороною забезпечити своєчасне виконання кожним Боржником всiх своїх зобов’язань за Фiнансовими Документами з урахуванням змiн, передбачених Угодою про Змiни та Нову Редакцiю. Вчинення значного правочину попередньо погоджено рiшенням рiчних загальних зборiв акцiонерiв Товариства вiд 22.04.2019. Вартiсть активiв емiтента за даними останньої рiчної фiнансової звiтностi: 241 586 тис. грн. Ринкова вартiсть майна або послуг, що є предметом значного правочину: 10 065 972 тис. грн. (400 мільйонів доларiв США за курсом НБУ 25,164930 грн. на 28.08.2019), спiввiдношення ринкової вартостi майна або послуг, що є предметом значного правочину до вартостi активiв емiтента за даними останньої рiчної фiнансової звiтностi: 4 166,6%. Загальна кiлькiсть голосiв членiв наглядової ради — 3 голоси, кiлькiсть голосiв, що проголосували «за» — 3 голоси, «проти» прийняття рiшення — немає. Додатковi критерiї для вiднесення правочину до значного правочину, не передбаченi законодавством, статутом ПРАТ "Вовчанський ОЕЗ" не передбаченi.</w:t>
            </w:r>
          </w:p>
        </w:tc>
      </w:tr>
    </w:tbl>
    <w:p>
      <w:pPr>
        <w:pStyle w:val="MsoNormal"/>
        <w:spacing w:before="0" w:after="140"/>
        <w:rPr/>
      </w:pPr>
      <w:r>
        <w:rPr/>
        <w:commentReference w:id="41"/>
      </w:r>
      <w:r>
        <w:rPr/>
        <w:commentReference w:id="42"/>
      </w:r>
      <w:r>
        <w:rPr/>
        <w:commentReference w:id="43"/>
      </w:r>
      <w:r>
        <w:rPr/>
        <w:commentReference w:id="44"/>
      </w:r>
      <w:r>
        <w:rPr/>
        <w:commentReference w:id="45"/>
      </w:r>
      <w:r>
        <w:rPr/>
        <w:commentReference w:id="46"/>
      </w:r>
      <w:r>
        <w:rPr/>
        <w:t> </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19-08-28T09:29:51Z" w:initials="">
    <w:p>
      <w:r>
        <w:rPr>
          <w:rFonts w:eastAsia="Segoe UI" w:cs="Tahoma"/>
          <w:color w:val="auto"/>
          <w:lang w:val="en-US" w:eastAsia="en-US" w:bidi="en-US"/>
        </w:rPr>
        <w:t>&lt;!--[if gte mso 9]&gt;&lt;xml&gt; &lt;o:DocumentProperties&gt;  &lt;o:Author&gt;PC&lt;/o:Author&gt;  &lt;o:Template&gt;Normal&lt;/o:Template&gt;  &lt;o:LastAuthor&gt;PC&lt;/o:LastAuthor&gt;  &lt;o:Revision&gt;2&lt;/o:Revision&gt;  &lt;o:TotalTime&gt;10&lt;/o:TotalTime&gt;  &lt;o:Created&gt;2019-08-27T21:58:00Z&lt;/o:Created&gt;  &lt;o:LastSaved&gt;2019-08-27T22:09:00Z&lt;/o:LastSaved&gt;  &lt;o:Pages&gt;3&lt;/o:Pages&gt;  &lt;o:Words&gt;520&lt;/o:Words&gt;  &lt;o:Characters&gt;3654&lt;/o:Characters&gt;  &lt;o:Lines&gt;30&lt;/o:Lines&gt;  &lt;o:Paragraphs&gt;8&lt;/o:Paragraphs&gt;  &lt;o:CharactersWithSpaces&gt;4166&lt;/o:CharactersWithSpaces&gt;  &lt;o:Version&gt;12.00&lt;/o:Version&gt; &lt;/o:DocumentProperties&gt;&lt;/xml&gt;&lt;![endif]--&gt;</w:t>
      </w:r>
    </w:p>
  </w:comment>
  <w:comment w:id="1" w:author="" w:date="2019-08-28T09:29:51Z" w:initials="">
    <w:p>
      <w:r>
        <w:rPr>
          <w:rFonts w:eastAsia="Segoe UI" w:cs="Tahoma"/>
          <w:color w:val="auto"/>
          <w:lang w:val="en-US" w:eastAsia="en-US" w:bidi="en-US"/>
        </w:rPr>
        <w:t>&lt;!--[if gte mso 9]&gt;&lt;xml&gt; &lt;w:WordDocument&gt;  &lt;w:View&gt;Print&lt;/w:View&gt;  &lt;w:Zoom&gt;120&lt;/w:Zoom&gt;  &lt;w:SpellingState&gt;Clean&lt;/w:SpellingState&gt;  &lt;w:GrammarState&gt;Clean&lt;/w:GrammarState&gt;  &lt;w:TrackMoves/&gt;  &lt;w:TrackFormatting/&gt;  &lt;w:HyphenationZone&gt;21&lt;/w:HyphenationZone&gt;  &lt;w:ValidateAgainstSchemas/&gt;  &lt;w:SaveIfXMLInvalid&gt;false&lt;/w:SaveIfXMLInvalid&gt;  &lt;w:IgnoreMixedContent&gt;false&lt;/w:IgnoreMixedContent&gt;  &lt;w:AlwaysShowPlaceholderText&gt;false&lt;/w:AlwaysShowPlaceholderText&gt;  &lt;w:DoNotPromoteQF/&gt;  &lt;w:LidThemeOther&gt;UK&lt;/w:LidThemeOther&gt;  &lt;w:LidThemeAsian&gt;X-NONE&lt;/w:LidThemeAsian&gt;  &lt;w:LidThemeComplexScript&gt;X-NONE&lt;/w:LidThemeComplexScript&gt;  &lt;w:Compatibility&gt;   &lt;w:BreakWrappedTables/&gt;   &lt;w:SnapToGridInCell/&gt;   &lt;w:WrapTextWithPunct/&gt;   &lt;w:UseAsianBreakRules/&gt;   &lt;w:DontGrowAutofit/&gt;   &lt;w:SplitPgBreakAndParaMark/&gt;   &lt;w:DontVertAlignCellWithSp/&gt;   &lt;w:DontBreakConstrainedForcedTables/&gt;   &lt;w:DontVertAlignInTxbx/&gt;   &lt;w:Word11KerningPairs/&gt;   &lt;w:CachedColBalance/&gt;  &lt;/w:Compatibility&gt;  &lt;w:BrowserLevel&gt;MicrosoftInternetExplorer4&lt;/w:BrowserLevel&gt;  &lt;m:mathPr&gt;   &lt;m:mathFont m:val="Cambria Math"/&gt;   &lt;m:brkBin m:val="before"/&gt;   &lt;m:brkBinSub m:val="&amp;#45;-"/&gt;   &lt;m:smallFrac m:val="off"/&gt;   &lt;m:dispDef/&gt;   &lt;m:lMargin m:val="0"/&gt;   &lt;m:rMargin m:val="0"/&gt;   &lt;m:defJc m:val="centerGroup"/&gt;   &lt;m:wrapIndent m:val="1440"/&gt;   &lt;m:intLim m:val="subSup"/&gt;   &lt;m:naryLim m:val="undOvr"/&gt;  &lt;/m:mathPr&gt;&lt;/w:WordDocument&gt;&lt;/xml&gt;&lt;![endif]--&gt;</w:t>
      </w:r>
    </w:p>
  </w:comment>
  <w:comment w:id="2" w:author="" w:date="2019-08-28T09:29:51Z" w:initials="">
    <w:p>
      <w:r>
        <w:rPr>
          <w:rFonts w:eastAsia="Segoe UI" w:cs="Tahoma"/>
          <w:color w:val="auto"/>
          <w:lang w:val="en-US" w:eastAsia="en-US" w:bidi="en-US"/>
        </w:rPr>
        <w:t>&lt;!--[if gte mso 9]&gt;&lt;xml&gt; &lt;w:LatentStyles DefLockedState="false" DefUnhideWhenUsed="true"  DefSemiHidden="true" DefQFormat="false" DefPriority="99"  LatentStyleCount="267"&gt;  &lt;w:LsdException Locked="false" Priority="0" SemiHidden="false"   UnhideWhenUsed="false" QFormat="true" Name="Normal"/&gt;  &lt;w:LsdException Locked="false" Priority="9" SemiHidden="false"   UnhideWhenUsed="false" QFormat="true" Name="heading 1"/&gt;  &lt;w:LsdException Locked="false" Priority="9" QFormat="true" Name="heading 2"/&gt;  &lt;w:LsdException Locked="false" Priority="9" SemiHidden="false"   UnhideWhenUsed="false" QFormat="true" Name="heading 3"/&gt;  &lt;w:LsdException Locked="false" Priority="9" SemiHidden="false"   UnhideWhenUsed="false" QFormat="true" Name="heading 4"/&gt;  &lt;w:LsdException Locked="false" Priority="9" QFormat="true" Name="heading 5"/&gt;  &lt;w:LsdException Locked="false" Priority="9" QFormat="true" Name="heading 6"/&gt;  &lt;w:LsdException Locked="false" Priority="9" QFormat="true" Name="heading 7"/&gt;  &lt;w:LsdException Locked="false" Priority="9" QFormat="true" Name="heading 8"/&gt;  &lt;w:LsdException Locked="false" Priority="9" QFormat="true" Name="heading 9"/&gt;  &lt;w:LsdException Locked="false" Priority="39" Name="toc 1"/&gt;  &lt;w:LsdException Locked="false" Priority="39" Name="toc 2"/&gt;  &lt;w:LsdException Locked="false" Priority="39" Name="toc 3"/&gt;  &lt;w:LsdException Locked="false" Priority="39" Name="toc 4"/&gt;  &lt;w:LsdException Locked="false" Priority="39" Name="toc 5"/&gt;  &lt;w:LsdException Locked="false" Priority="39" Name="toc 6"/&gt;  &lt;w:LsdException Locked="false" Priority="39" Name="toc 7"/&gt;  &lt;w:LsdException Locked="false" Priority="39" Name="toc 8"/&gt;  &lt;w:LsdException Locked="false" Priority="39" Name="toc 9"/&gt;  &lt;w:LsdException Locked="false" Priority="35" QFormat="true" Name="caption"/&gt;  &lt;w:LsdException Locked="false" Priority="10" SemiHidden="false"   UnhideWhenUsed="false" QFormat="true" Name="Title"/&gt;  &lt;w:LsdException Locked="false" Priority="1" Name="Default Paragraph Font"/&gt;  &lt;w:LsdException Locked="false" Priority="11" SemiHidden="false"   UnhideWhenUsed="false" QFormat="true" Name="Subtitle"/&gt;  &lt;w:LsdException Locked="false" Priority="22" SemiHidden="false"   UnhideWhenUsed="false" QFormat="true" Name="Strong"/&gt;  &lt;w:LsdException Locked="false" Priority="20" SemiHidden="false"   UnhideWhenUsed="false" QFormat="true" Name="Emphasis"/&gt;  &lt;w:LsdException Locked="false" Priority="59" SemiHidden="false"   UnhideWhenUsed="false" Name="Table Grid"/&gt;  &lt;w:LsdException Locked="false" UnhideWhenUsed="false" Name="Placeholder Text"/&gt;  &lt;w:LsdException Locked="false" Priority="1" SemiHidden="false"   UnhideWhenUsed="false" QFormat="true" Name="No Spacing"/&gt;  &lt;w:LsdException Locked="false" Priority="60" SemiHidden="false"   UnhideWhenUsed="false" Name="Light Shading"/&gt;  &lt;w:LsdException Locked="false" Priority="61" SemiHidden="false"   UnhideWhenUsed="false" Name="Light List"/&gt;  &lt;w:LsdException Locked="false" Priority="62" SemiHidden="false"   UnhideWhenUsed="false" Name="Light Grid"/&gt;  &lt;w:LsdException Locked="false" Priority="63" SemiHidden="false"   UnhideWhenUsed="false" Name="Medium Shading 1"/&gt;  &lt;w:LsdException Locked="false" Priority="64" SemiHidden="false"   UnhideWhenUsed="false" Name="Medium Shading 2"/&gt;  &lt;w:LsdException Locked="false" Priority="65" SemiHidden="false"   UnhideWhenUsed="false" Name="Medium List 1"/&gt;  &lt;w:LsdException Locked="false" Priority="66" SemiHidden="false"   UnhideWhenUsed="false" Name="Medium List 2"/&gt;  &lt;w:LsdException Locked="false" Priority="67" SemiHidden="false"   UnhideWhenUsed="false" Name="Medium Grid 1"/&gt;  &lt;w:LsdException Locked="false" Priority="68" SemiHidden="false"   UnhideWhenUsed="false" Name="Medium Grid 2"/&gt;  &lt;w:LsdException Locked="false" Priority="69" SemiHidden="false"   UnhideWhenUsed="false" Name="Medium Grid 3"/&gt;  &lt;w:LsdException Locked="false" Priority="70" SemiHidden="false"   UnhideWhenUsed="false" Name="Dark List"/&gt;  &lt;w:LsdException Locked="false" Priority="71" SemiHidden="false"   UnhideWhenUsed="false" Name="Colorful Shading"/&gt;  &lt;w:LsdException Locked="false" Priority="72" SemiHidden="false"   UnhideWhenUsed="false" Name="Colorful List"/&gt;  &lt;w:LsdException Locked="false" Priority="73" SemiHidden="false"   UnhideWhenUsed="false" Name="Colorful Grid"/&gt;  &lt;w:LsdException Locked="false" Priority="60" SemiHidden="false"   UnhideWhenUsed="false" Name="Light Shading Accent 1"/&gt;  &lt;w:LsdException Locked="false" Priority="61" SemiHidden="false"   UnhideWhenUsed="false" Name="Light List Accent 1"/&gt;  &lt;w:LsdException Locked="false" Priority="62" SemiHidden="false"   UnhideWhenUsed="false" Name="Light Grid Accent 1"/&gt;  &lt;w:LsdException Locked="false" Priority="63" SemiHidden="false"   UnhideWhenUsed="false" Name="Medium Shading 1 Accent 1"/&gt;  &lt;w:LsdException Locked="false" Priority="64" SemiHidden="false"   UnhideWhenUsed="false" Name="Medium Shading 2 Accent 1"/&gt;  &lt;w:LsdException Locked="false" Priority="65" SemiHidden="false"   UnhideWhenUsed="false" Name="Medium List 1 Accent 1"/&gt;  &lt;w:LsdException Locked="false" UnhideWhenUsed="false" Name="Revision"/&gt;  &lt;w:LsdException Locked="false" Priority="34" SemiHidden="false"   UnhideWhenUsed="false" QFormat="true" Name="List Paragraph"/&gt;  &lt;w:LsdException Locked="false" Priority="29" SemiHidden="false"   UnhideWhenUsed="false" QFormat="true" Name="Quote"/&gt;  &lt;w:LsdException Locked="false" Priority="30" SemiHidden="false"   UnhideWhenUsed="false" QFormat="true" Name="Intense Quote"/&gt;  &lt;w:LsdException Locked="false" Priority="66" SemiHidden="false"   UnhideWhenUsed="false" Name="Medium List 2 Accent 1"/&gt;  &lt;w:LsdException Locked="false" Priority="67" SemiHidden="false"   UnhideWhenUsed="false" Name="Medium Grid 1 Accent 1"/&gt;  &lt;w:LsdException Locked="false" Priority="68" SemiHidden="false"   UnhideWhenUsed="false" Name="Medium Grid 2 Accent 1"/&gt;  &lt;w:LsdException Locked="false" Priority="69" SemiHidden="false"   UnhideWhenUsed="false" Name="Medium Grid 3 Accent 1"/&gt;  &lt;w:LsdException Locked="false" Priority="70" SemiHidden="false"   UnhideWhenUsed="false" Name="Dark List Accent 1"/&gt;  &lt;w:LsdException Locked="false" Priority="71" SemiHidden="false"   UnhideWhenUsed="false" Name="Colorful Shading Accent 1"/&gt;  &lt;w:LsdException Locked="false" Priority="72" SemiHidden="false"   UnhideWhenUsed="false" Name="Colorful List Accent 1"/&gt;  &lt;w:LsdException Locked="false" Priority="73" SemiHidden="false"   UnhideWhenUsed="false" Name="Colorful Grid Accent 1"/&gt;  &lt;w:LsdException Locked="false" Priority="60" SemiHidden="false"   UnhideWhenUsed="false" Name="Light Shading Accent 2"/&gt;  &lt;w:LsdException Locked="false" Priority="61" SemiHidden="false"   UnhideWhenUsed="false" Name="Light List Accent 2"/&gt;  &lt;w:LsdException Locked="false" Priority="62" SemiHidden="false"   UnhideWhenUsed="false" Name="Light Grid Accent 2"/&gt;  &lt;w:LsdException Locked="false" Priority="63" SemiHidden="false"   UnhideWhenUsed="false" Name="Medium Shading 1 Accent 2"/&gt;  &lt;w:LsdException Locked="false" Priority="64" SemiHidden="false"   UnhideWhenUsed="false" Name="Medium Shading 2 Accent 2"/&gt;  &lt;w:LsdException Locked="false" Priority="65" SemiHidden="false"   UnhideWhenUsed="false" Name="Medium List 1 Accent 2"/&gt;  &lt;w:LsdException Locked="false" Priority="66" SemiHidden="false"   UnhideWhenUsed="false" Name="Medium List 2 Accent 2"/&gt;  &lt;w:LsdException Locked="false" Priority="67" SemiHidden="false"   UnhideWhenUsed="false" Name="Medium Grid 1 Accent 2"/&gt;  &lt;w:LsdException Locked="false" Priority="68" SemiHidden="false"   UnhideWhenUsed="false" Name="Medium Grid 2 Accent 2"/&gt;  &lt;w:LsdException Locked="false" Priority="69" SemiHidden="false"   UnhideWhenUsed="false" Name="Medium Grid 3 Accent 2"/&gt;  &lt;w:LsdException Locked="false" Priority="70" SemiHidden="false"   UnhideWhenUsed="false" Name="Dark List Accent 2"/&gt;  &lt;w:LsdException Locked="false" Priority="71" SemiHidden="false"   UnhideWhenUsed="false" Name="Colorful Shading Accent 2"/&gt;  &lt;w:LsdException Locked="false" Priority="72" SemiHidden="false"   UnhideWhenUsed="false" Name="Colorful List Accent 2"/&gt;  &lt;w:LsdException Locked="false" Priority="73" SemiHidden="false"   UnhideWhenUsed="false" Name="Colorful Grid Accent 2"/&gt;  &lt;w:LsdException Locked="false" Priority="60" SemiHidden="false"   UnhideWhenUsed="false" Name="Light Shading Accent 3"/&gt;  &lt;w:LsdException Locked="false" Priority="61" SemiHidden="false"   UnhideWhenUsed="false" Name="Light List Accent 3"/&gt;  &lt;w:LsdException Locked="false" Priority="62" SemiHidden="false"   UnhideWhenUsed="false" Name="Light Grid Accent 3"/&gt;  &lt;w:LsdException Locked="false" Priority="63" SemiHidden="false"   UnhideWhenUsed="false" Name="Medium Shading 1 Accent 3"/&gt;  &lt;w:LsdException Locked="false" Priority="64" SemiHidden="false"   UnhideWhenUsed="false" Name="Medium Shading 2 Accent 3"/&gt;  &lt;w:LsdException Locked="false" Priority="65" SemiHidden="false"   UnhideWhenUsed="false" Name="Medium List 1 Accent 3"/&gt;  &lt;w:LsdException Locked="false" Priority="66" SemiHidden="false"   UnhideWhenUsed="false" Name="Medium List 2 Accent 3"/&gt;  &lt;w:LsdException Locked="false" Priority="67" SemiHidden="false"   UnhideWhenUsed="false" Name="Medium Grid 1 Accent 3"/&gt;  &lt;w:LsdException Locked="false" Priority="68" SemiHidden="false"   UnhideWhenUsed="false" Name="Medium Grid 2 Accent 3"/&gt;  &lt;w:LsdException Locked="false" Priority="69" SemiHidden="false"   UnhideWhenUsed="false" Name="Medium Grid 3 Accent 3"/&gt;  &lt;w:LsdException Locked="false" Priority="70" SemiHidden="false"   UnhideWhenUsed="false" Name="Dark List Accent 3"/&gt;  &lt;w:LsdException Locked="false" Priority="71" SemiHidden="false"   UnhideWhenUsed="false" Name="Colorful Shading Accent 3"/&gt;  &lt;w:LsdException Locked="false" Priority="72" SemiHidden="false"   UnhideWhenUsed="false" Name="Colorful List Accent 3"/&gt;  &lt;w:LsdException Locked="false" Priority="73" SemiHidden="false"   UnhideWhenUsed="false" Name="Colorful Grid Accent 3"/&gt;  &lt;w:LsdException Locked="false" Priority="60" SemiHidden="false"   UnhideWhenUsed="false" Name="Light Shading Accent 4"/&gt;  &lt;w:LsdException Locked="false" Priority="61" SemiHidden="false"   UnhideWhenUsed="false" Name="Light List Accent 4"/&gt;  &lt;w:LsdException Locked="false" Priority="62" SemiHidden="false"   UnhideWhenUsed="false" Name="Light Grid Accent 4"/&gt;  &lt;w:LsdException Locked="false" Priority="63" SemiHidden="false"   UnhideWhenUsed="false" Name="Medium Shading 1 Accent 4"/&gt;  &lt;w:LsdException Locked="false" Priority="64" SemiHidden="false"   UnhideWhenUsed="false" Name="Medium Shading 2 Accent 4"/&gt;  &lt;w:LsdException Locked="false" Priority="65" SemiHidden="false"   UnhideWhenUsed="false" Name="Medium List 1 Accent 4"/&gt;  &lt;w:LsdException Locked="false" Priority="66" SemiHidden="false"   UnhideWhenUsed="false" Name="Medium List 2 Accent 4"/&gt;  &lt;w:LsdException Locked="false" Priority="67" SemiHidden="false"   UnhideWhenUsed="false" Name="Medium Grid 1 Accent 4"/&gt;  &lt;w:LsdException Locked="false" Priority="68" SemiHidden="false"   UnhideWhenUsed="false" Name="Medium Grid 2 Accent 4"/&gt;  &lt;w:LsdException Locked="false" Priority="69" SemiHidden="false"   UnhideWhenUsed="false" Name="Medium Grid 3 Accent 4"/&gt;  &lt;w:LsdException Locked="false" Priority="70" SemiHidden="false"   UnhideWhenUsed="false" Name="Dark List Accent 4"/&gt;  &lt;w:LsdException Locked="false" Priority="71" SemiHidden="false"   UnhideWhenUsed="false" Name="Colorful Shading Accent 4"/&gt;  &lt;w:LsdException Locked="false" Priority="72" SemiHidden="false"   UnhideWhenUsed="false" Name="Colorful List Accent 4"/&gt;  &lt;w:LsdException Locked="false" Priority="73" SemiHidden="false"   UnhideWhenUsed="false" Name="Colorful Grid Accent 4"/&gt;  &lt;w:LsdException Locked="false" Priority="60" SemiHidden="false"   UnhideWhenUsed="false" Name="Light Shading Accent 5"/&gt;  &lt;w:LsdException Locked="false" Priority="61" SemiHidden="false"   UnhideWhenUsed="false" Name="Light List Accent 5"/&gt;  &lt;w:LsdException Locked="false" Priority="62" SemiHidden="false"   UnhideWhenUsed="false" Name="Light Grid Accent 5"/&gt;  &lt;w:LsdException Locked="false" Priority="63" SemiHidden="false"   UnhideWhenUsed="false" Name="Medium Shading 1 Accent 5"/&gt;  &lt;w:LsdException Locked="false" Priority="64" SemiHidden="false"   UnhideWhenUsed="false" Name="Medium Shading 2 Accent 5"/&gt;  &lt;w:LsdException Locked="false" Priority="65" SemiHidden="false"   UnhideWhenUsed="false" Name="Medium List 1 Accent 5"/&gt;  &lt;w:LsdException Locked="false" Priority="66" SemiHidden="false"   UnhideWhenUsed="false" Name="Medium List 2 Accent 5"/&gt;  &lt;w:LsdException Locked="false" Priority="67" SemiHidden="false"   UnhideWhenUsed="false" Name="Medium Grid 1 Accent 5"/&gt;  &lt;w:LsdException Locked="false" Priority="68" SemiHidden="false"   UnhideWhenUsed="false" Name="Medium Grid 2 Accent 5"/&gt;  &lt;w:LsdException Locked="false" Priority="69" SemiHidden="false"   UnhideWhenUsed="false" Name="Medium Grid 3 Accent 5"/&gt;  &lt;w:LsdException Locked="false" Priority="70" SemiHidden="false"   UnhideWhenUsed="false" Name="Dark List Accent 5"/&gt;  &lt;w:LsdException Locked="false" Priority="71" SemiHidden="false"   UnhideWhenUsed="false" Name="Colorful Shading Accent 5"/&gt;  &lt;w:LsdException Locked="false" Priority="72" SemiHidden="false"   UnhideWhenUsed="false" Name="Colorful List Accent 5"/&gt;  &lt;w:LsdException Locked="false" Priority="73" SemiHidden="false"   UnhideWhenUsed="false" Name="Colorful Grid Accent 5"/&gt;  &lt;w:LsdException Locked="false" Priority="60" SemiHidden="false"   UnhideWhenUsed="false" Name="Light Shading Accent 6"/&gt;  &lt;w:LsdException Locked="false" Priority="61" SemiHidden="false"   UnhideWhenUsed="false" Name="Light List Accent 6"/&gt;  &lt;w:LsdException Locked="false" Priority="62" SemiHidden="false"   UnhideWhenUsed="false" Name="Light Grid Accent 6"/&gt;  &lt;w:LsdException Locked="false" Priority="63" SemiHidden="false"   UnhideWhenUsed="false" Name="Medium Shading 1 Accent 6"/&gt;  &lt;w:LsdException Locked="false" Priority="64" SemiHidden="false"   UnhideWhenUsed="false" Name="Medium Shading 2 Accent 6"/&gt;  &lt;w:LsdException Locked="false" Priority="65" SemiHidden="false"   UnhideWhenUsed="false" Name="Medium List 1 Accent 6"/&gt;  &lt;w:LsdException Locked="false" Priority="66" SemiHidden="false"   UnhideWhenUsed="false" Name="Medium List 2 Accent 6"/&gt;  &lt;w:LsdException Locked="false" Priority="67" SemiHidden="false"   UnhideWhenUsed="false" Name="Medium Grid 1 Accent 6"/&gt;  &lt;w:LsdException Locked="false" Priority="68" SemiHidden="false"   UnhideWhenUsed="false" Name="Medium Grid 2 Accent 6"/&gt;  &lt;w:LsdException Locked="false" Priority="69" SemiHidden="false"   UnhideWhenUsed="false" Name="Medium Grid 3 Accent 6"/&gt;  &lt;w:LsdException Locked="false" Priority="70" SemiHidden="false"   UnhideWhenUsed="false" Name="Dark List Accent 6"/&gt;  &lt;w:LsdException Locked="false" Priority="71" SemiHidden="false"   UnhideWhenUsed="false" Name="Colorful Shading Accent 6"/&gt;  &lt;w:LsdException Locked="false" Priority="72" SemiHidden="false"   UnhideWhenUsed="false" Name="Colorful List Accent 6"/&gt;  &lt;w:LsdException Locked="false" Priority="73" SemiHidden="false"   UnhideWhenUsed="false" Name="Colorful Grid Accent 6"/&gt;  &lt;w:LsdException Locked="false" Priority="19" SemiHidden="false"   UnhideWhenUsed="false" QFormat="true" Name="Subtle Emphasis"/&gt;  &lt;w:LsdException Locked="false" Priority="21" SemiHidden="false"   UnhideWhenUsed="false" QFormat="true" Name="Intense Emphasis"/&gt;  &lt;w:LsdException Locked="false" Priority="31" SemiHidden="false"   UnhideWhenUsed="false" QFormat="true" Name="Subtle Reference"/&gt;  &lt;w:LsdException Locked="false" Priority="32" SemiHidden="false"   UnhideWhenUsed="false" QFormat="true" Name="Intense Reference"/&gt;  &lt;w:LsdException Locked="false" Priority="33" SemiHidden="false"   UnhideWhenUsed="false" QFormat="true" Name="Book Title"/&gt;  &lt;w:LsdException Locked="false" Priority="37" Name="Bibliography"/&gt;  &lt;w:LsdException Locked="false" Priority="39" QFormat="true" Name="TOC Heading"/&gt; &lt;/w:LatentStyles&gt;&lt;/xml&gt;&lt;![endif]--&gt;</w:t>
      </w:r>
    </w:p>
  </w:comment>
  <w:comment w:id="3" w:author="" w:date="2019-08-28T09:29:51Z" w:initials="">
    <w:p>
      <w:r>
        <w:rPr>
          <w:rFonts w:eastAsia="Segoe UI" w:cs="Tahoma"/>
          <w:color w:val="auto"/>
          <w:lang w:val="en-US" w:eastAsia="en-US" w:bidi="en-US"/>
        </w:rPr>
        <w:t>&lt;!--[if gte mso 10]&gt;&lt;style&gt; /* Style Definitions */ table.MsoNormalTable</w:t>
      </w:r>
      <w:r>
        <w:rPr>
          <w:rFonts w:eastAsia="Segoe UI" w:cs="Tahoma"/>
          <w:color w:val="auto"/>
          <w:lang w:val="en-US" w:eastAsia="en-US" w:bidi="en-US"/>
        </w:rPr>
      </w:r>
      <w:r>
        <w:rPr>
          <w:rFonts w:eastAsia="Segoe UI" w:cs="Tahoma"/>
          <w:color w:val="auto"/>
          <w:lang w:val="en-US" w:eastAsia="en-US" w:bidi="en-US"/>
        </w:rPr>
        <w:t>{mso-style-name:"Обычная таблица";</w:t>
      </w:r>
      <w:r>
        <w:rPr>
          <w:rFonts w:eastAsia="Segoe UI" w:cs="Tahoma"/>
          <w:color w:val="auto"/>
          <w:lang w:val="en-US" w:eastAsia="en-US" w:bidi="en-US"/>
        </w:rPr>
      </w:r>
      <w:r>
        <w:rPr>
          <w:rFonts w:eastAsia="Segoe UI" w:cs="Tahoma"/>
          <w:color w:val="auto"/>
          <w:lang w:val="en-US" w:eastAsia="en-US" w:bidi="en-US"/>
        </w:rPr>
        <w:t>mso-tstyle-rowband-size:0;</w:t>
      </w:r>
      <w:r>
        <w:rPr>
          <w:rFonts w:eastAsia="Segoe UI" w:cs="Tahoma"/>
          <w:color w:val="auto"/>
          <w:lang w:val="en-US" w:eastAsia="en-US" w:bidi="en-US"/>
        </w:rPr>
      </w:r>
      <w:r>
        <w:rPr>
          <w:rFonts w:eastAsia="Segoe UI" w:cs="Tahoma"/>
          <w:color w:val="auto"/>
          <w:lang w:val="en-US" w:eastAsia="en-US" w:bidi="en-US"/>
        </w:rPr>
        <w:t>mso-tstyle-colband-size:0;</w:t>
      </w:r>
      <w:r>
        <w:rPr>
          <w:rFonts w:eastAsia="Segoe UI" w:cs="Tahoma"/>
          <w:color w:val="auto"/>
          <w:lang w:val="en-US" w:eastAsia="en-US" w:bidi="en-US"/>
        </w:rPr>
      </w:r>
      <w:r>
        <w:rPr>
          <w:rFonts w:eastAsia="Segoe UI" w:cs="Tahoma"/>
          <w:color w:val="auto"/>
          <w:lang w:val="en-US" w:eastAsia="en-US" w:bidi="en-US"/>
        </w:rPr>
        <w:t>mso-style-noshow:yes;</w:t>
      </w:r>
      <w:r>
        <w:rPr>
          <w:rFonts w:eastAsia="Segoe UI" w:cs="Tahoma"/>
          <w:color w:val="auto"/>
          <w:lang w:val="en-US" w:eastAsia="en-US" w:bidi="en-US"/>
        </w:rPr>
      </w:r>
      <w:r>
        <w:rPr>
          <w:rFonts w:eastAsia="Segoe UI" w:cs="Tahoma"/>
          <w:color w:val="auto"/>
          <w:lang w:val="en-US" w:eastAsia="en-US" w:bidi="en-US"/>
        </w:rPr>
        <w:t>mso-style-priority:99;</w:t>
      </w:r>
      <w:r>
        <w:rPr>
          <w:rFonts w:eastAsia="Segoe UI" w:cs="Tahoma"/>
          <w:color w:val="auto"/>
          <w:lang w:val="en-US" w:eastAsia="en-US" w:bidi="en-US"/>
        </w:rPr>
      </w:r>
      <w:r>
        <w:rPr>
          <w:rFonts w:eastAsia="Segoe UI" w:cs="Tahoma"/>
          <w:color w:val="auto"/>
          <w:lang w:val="en-US" w:eastAsia="en-US" w:bidi="en-US"/>
        </w:rPr>
        <w:t>mso-style-qformat:yes;</w:t>
      </w:r>
      <w:r>
        <w:rPr>
          <w:rFonts w:eastAsia="Segoe UI" w:cs="Tahoma"/>
          <w:color w:val="auto"/>
          <w:lang w:val="en-US" w:eastAsia="en-US" w:bidi="en-US"/>
        </w:rPr>
      </w:r>
      <w:r>
        <w:rPr>
          <w:rFonts w:eastAsia="Segoe UI" w:cs="Tahoma"/>
          <w:color w:val="auto"/>
          <w:lang w:val="en-US" w:eastAsia="en-US" w:bidi="en-US"/>
        </w:rPr>
        <w:t>mso-style-parent:"";</w:t>
      </w:r>
      <w:r>
        <w:rPr>
          <w:rFonts w:eastAsia="Segoe UI" w:cs="Tahoma"/>
          <w:color w:val="auto"/>
          <w:lang w:val="en-US" w:eastAsia="en-US" w:bidi="en-US"/>
        </w:rPr>
      </w:r>
      <w:r>
        <w:rPr>
          <w:rFonts w:eastAsia="Segoe UI" w:cs="Tahoma"/>
          <w:color w:val="auto"/>
          <w:lang w:val="en-US" w:eastAsia="en-US" w:bidi="en-US"/>
        </w:rPr>
        <w:t>mso-padding-alt:0cm 5.4pt 0cm 5.4pt;</w:t>
      </w:r>
      <w:r>
        <w:rPr>
          <w:rFonts w:eastAsia="Segoe UI" w:cs="Tahoma"/>
          <w:color w:val="auto"/>
          <w:lang w:val="en-US" w:eastAsia="en-US" w:bidi="en-US"/>
        </w:rPr>
      </w:r>
      <w:r>
        <w:rPr>
          <w:rFonts w:eastAsia="Segoe UI" w:cs="Tahoma"/>
          <w:color w:val="auto"/>
          <w:lang w:val="en-US" w:eastAsia="en-US" w:bidi="en-US"/>
        </w:rPr>
        <w:t>mso-para-margin:0cm;</w:t>
      </w:r>
      <w:r>
        <w:rPr>
          <w:rFonts w:eastAsia="Segoe UI" w:cs="Tahoma"/>
          <w:color w:val="auto"/>
          <w:lang w:val="en-US" w:eastAsia="en-US" w:bidi="en-US"/>
        </w:rPr>
      </w:r>
      <w:r>
        <w:rPr>
          <w:rFonts w:eastAsia="Segoe UI" w:cs="Tahoma"/>
          <w:color w:val="auto"/>
          <w:lang w:val="en-US" w:eastAsia="en-US" w:bidi="en-US"/>
        </w:rPr>
        <w:t>mso-para-margin-bottom:.0001pt;</w:t>
      </w:r>
      <w:r>
        <w:rPr>
          <w:rFonts w:eastAsia="Segoe UI" w:cs="Tahoma"/>
          <w:color w:val="auto"/>
          <w:lang w:val="en-US" w:eastAsia="en-US" w:bidi="en-US"/>
        </w:rPr>
      </w:r>
      <w:r>
        <w:rPr>
          <w:rFonts w:eastAsia="Segoe UI" w:cs="Tahoma"/>
          <w:color w:val="auto"/>
          <w:lang w:val="en-US" w:eastAsia="en-US" w:bidi="en-US"/>
        </w:rPr>
        <w:t>mso-pagination:widow-orphan;</w:t>
      </w:r>
      <w:r>
        <w:rPr>
          <w:rFonts w:eastAsia="Segoe UI" w:cs="Tahoma"/>
          <w:color w:val="auto"/>
          <w:lang w:val="en-US" w:eastAsia="en-US" w:bidi="en-US"/>
        </w:rPr>
      </w:r>
      <w:r>
        <w:rPr>
          <w:rFonts w:eastAsia="Segoe UI" w:cs="Tahoma"/>
          <w:color w:val="auto"/>
          <w:lang w:val="en-US" w:eastAsia="en-US" w:bidi="en-US"/>
        </w:rPr>
        <w:t>font-size:10.0pt;</w:t>
      </w:r>
      <w:r>
        <w:rPr>
          <w:rFonts w:eastAsia="Segoe UI" w:cs="Tahoma"/>
          <w:color w:val="auto"/>
          <w:lang w:val="en-US" w:eastAsia="en-US" w:bidi="en-US"/>
        </w:rPr>
      </w:r>
      <w:r>
        <w:rPr>
          <w:rFonts w:eastAsia="Segoe UI" w:cs="Tahoma"/>
          <w:color w:val="auto"/>
          <w:lang w:val="en-US" w:eastAsia="en-US" w:bidi="en-US"/>
        </w:rPr>
        <w:t>font-family:"Times New Roman","serif";}&lt;/style&gt;&lt;![endif]--&gt;</w:t>
      </w:r>
    </w:p>
  </w:comment>
  <w:comment w:id="4" w:author="" w:date="2019-08-28T09:29:51Z" w:initials="">
    <w:p>
      <w:r>
        <w:rPr>
          <w:rFonts w:eastAsia="Segoe UI" w:cs="Tahoma"/>
          <w:color w:val="auto"/>
          <w:lang w:val="en-US" w:eastAsia="en-US" w:bidi="en-US"/>
        </w:rPr>
        <w:t>&lt;!--[if gte mso 9]&gt;&lt;xml&gt; &lt;u1:WordDocument&gt;  &lt;u1:View&gt;Print&lt;/u1:View&gt;  &lt;u1:Zoom&gt;90&lt;/u1:Zoom&gt;  &lt;u1:SpellingState&gt;Clean&lt;/u1:SpellingState&gt;  &lt;u1:GrammarState&gt;Clean&lt;/u1:GrammarState&gt;  &lt;u1:PunctuationKerning/&gt;  &lt;u1:ValidateAgainstSchemas/&gt;  &lt;u1:SaveIfXMLInvalid&gt;false&lt;/u1:SaveIfXMLInvalid&gt;  &lt;u1:IgnoreMixedContent&gt;false&lt;/u1:IgnoreMixedContent&gt;  &lt;u1:AlwaysShowPlaceholderText&gt;false&lt;/u1:AlwaysShowPlaceholderText&gt;  &lt;u1:Compatibility&gt;   &lt;u1:BreakWrappedTables/&gt;   &lt;u1:SnapToGridInCell/&gt;   &lt;u1:WrapTextWithPunct/&gt;   &lt;u1:UseAsianBreakRules/&gt;   &lt;u1:DontGrowAutofit/&gt;  &lt;/u1:Compatibility&gt;  &lt;u1:BrowserLevel&gt;MicrosoftInternetExplorer4&lt;/u1:BrowserLevel&gt; &lt;/u1:WordDocument&gt;&lt;/xml&gt;&lt;![endif]--&gt;</w:t>
      </w:r>
    </w:p>
  </w:comment>
  <w:comment w:id="5" w:author="" w:date="2019-08-28T09:29:51Z" w:initials="">
    <w:p>
      <w:r>
        <w:rPr>
          <w:rFonts w:eastAsia="Segoe UI" w:cs="Tahoma"/>
          <w:color w:val="auto"/>
          <w:lang w:val="en-US" w:eastAsia="en-US" w:bidi="en-US"/>
        </w:rPr>
        <w:t>&lt;!--[if gte mso 9]&gt;&lt;xml&gt; &lt;o:shapedefaults v:ext="edit" spidmax="1026"/&gt;&lt;/xml&gt;&lt;![endif]--&gt;</w:t>
      </w:r>
    </w:p>
  </w:comment>
  <w:comment w:id="6" w:author="" w:date="2019-08-28T09:29:51Z" w:initials="">
    <w:p>
      <w:r>
        <w:rPr>
          <w:rFonts w:eastAsia="Segoe UI" w:cs="Tahoma"/>
          <w:color w:val="auto"/>
          <w:lang w:val="en-US" w:eastAsia="en-US" w:bidi="en-US"/>
        </w:rPr>
        <w:t>&lt;!--[if gte mso 9]&gt;&lt;xml&gt; &lt;o:shapelayout v:ext="edit"&gt;  &lt;o:idmap v:ext="edit" data="1"/&gt; &lt;/o:shapelayout&gt;&lt;/xml&gt;&lt;![endif]--&gt;</w:t>
      </w:r>
    </w:p>
  </w:comment>
  <w:comment w:id="7" w:author="" w:date="2019-08-28T09:29:51Z" w:initials="">
    <w:p>
      <w:r>
        <w:rPr>
          <w:rFonts w:eastAsia="Segoe UI" w:cs="Tahoma"/>
          <w:color w:val="auto"/>
          <w:lang w:val="en-US" w:eastAsia="en-US" w:bidi="en-US"/>
        </w:rPr>
        <w:t>&lt;!---- end table ----&gt;</w:t>
      </w:r>
    </w:p>
  </w:comment>
  <w:comment w:id="8" w:author="" w:date="2019-08-28T09:29:51Z" w:initials="">
    <w:p>
      <w:r>
        <w:rPr>
          <w:rFonts w:eastAsia="Segoe UI" w:cs="Tahoma"/>
          <w:color w:val="auto"/>
          <w:lang w:val="en-US" w:eastAsia="en-US" w:bidi="en-US"/>
        </w:rPr>
        <w:t>&lt;!---- table name="rozm_cp" desc="2.2.</w:t>
      </w:r>
      <w:r>
        <w:rPr>
          <w:rFonts w:eastAsia="Segoe UI" w:cs="Tahoma"/>
          <w:color w:val="auto"/>
          <w:lang w:val="en-US" w:eastAsia="en-US" w:bidi="en-US"/>
        </w:rPr>
      </w:r>
      <w:r>
        <w:rPr>
          <w:rFonts w:eastAsia="Segoe UI" w:cs="Tahoma"/>
          <w:color w:val="auto"/>
          <w:lang w:val="en-US" w:eastAsia="en-US" w:bidi="en-US"/>
        </w:rPr>
        <w:t>Відомості про прийняття рішення про розміщення цінних паперів на суму, що перевищує 25 відсотків статутного капіталу" ----&gt;</w:t>
      </w:r>
    </w:p>
  </w:comment>
  <w:comment w:id="9" w:author="" w:date="2019-08-28T09:29:51Z" w:initials="">
    <w:p>
      <w:r>
        <w:rPr>
          <w:rFonts w:eastAsia="Segoe UI" w:cs="Tahoma"/>
          <w:color w:val="auto"/>
          <w:lang w:val="en-US" w:eastAsia="en-US" w:bidi="en-US"/>
        </w:rPr>
        <w:t>&lt;!---- table name="vikup_o" desc="2.3.</w:t>
      </w:r>
      <w:r>
        <w:rPr>
          <w:rFonts w:eastAsia="Segoe UI" w:cs="Tahoma"/>
          <w:color w:val="auto"/>
          <w:lang w:val="en-US" w:eastAsia="en-US" w:bidi="en-US"/>
        </w:rPr>
      </w:r>
      <w:r>
        <w:rPr>
          <w:rFonts w:eastAsia="Segoe UI" w:cs="Tahoma"/>
          <w:color w:val="auto"/>
          <w:lang w:val="en-US" w:eastAsia="en-US" w:bidi="en-US"/>
        </w:rPr>
        <w:t>Відомості про прийняття рішення про викуп власних акцій, крім акцій корпоративних інвестиційних фондів інтервального та відкритого типу" ----&gt;</w:t>
      </w:r>
    </w:p>
  </w:comment>
  <w:comment w:id="10" w:author="" w:date="2019-08-28T09:29:51Z" w:initials="">
    <w:p>
      <w:r>
        <w:rPr>
          <w:rFonts w:eastAsia="Segoe UI" w:cs="Tahoma"/>
          <w:color w:val="auto"/>
          <w:lang w:val="en-US" w:eastAsia="en-US" w:bidi="en-US"/>
        </w:rPr>
        <w:t>&lt;!---- table name="holdagr" desc="2.4 Відомості про наявність, строк дії та сторони акціонерного договору" ----&gt;</w:t>
      </w:r>
    </w:p>
  </w:comment>
  <w:comment w:id="11" w:author="" w:date="2019-08-28T09:29:51Z" w:initials="">
    <w:p>
      <w:r>
        <w:rPr>
          <w:rFonts w:eastAsia="Segoe UI" w:cs="Tahoma"/>
          <w:color w:val="auto"/>
          <w:lang w:val="en-US" w:eastAsia="en-US" w:bidi="en-US"/>
        </w:rPr>
        <w:t>&lt;!---- table name="list_cp" desc="2.5.</w:t>
      </w:r>
      <w:r>
        <w:rPr>
          <w:rFonts w:eastAsia="Segoe UI" w:cs="Tahoma"/>
          <w:color w:val="auto"/>
          <w:lang w:val="en-US" w:eastAsia="en-US" w:bidi="en-US"/>
        </w:rPr>
      </w:r>
      <w:r>
        <w:rPr>
          <w:rFonts w:eastAsia="Segoe UI" w:cs="Tahoma"/>
          <w:color w:val="auto"/>
          <w:lang w:val="en-US" w:eastAsia="en-US" w:bidi="en-US"/>
        </w:rPr>
        <w:t>Відомості про факти включення/виключення цінних паперів до біржового реєстру фондової біржі" ----&gt;</w:t>
      </w:r>
    </w:p>
  </w:comment>
  <w:comment w:id="12" w:author="" w:date="2019-08-28T09:29:51Z" w:initials="">
    <w:p>
      <w:r>
        <w:rPr>
          <w:rFonts w:eastAsia="Segoe UI" w:cs="Tahoma"/>
          <w:color w:val="auto"/>
          <w:lang w:val="en-US" w:eastAsia="en-US" w:bidi="en-US"/>
        </w:rPr>
        <w:t>&lt;!---- table name="person_o" desc="2.6 Відомості про зміну складу посадових осіб емітента" ----&gt;</w:t>
      </w:r>
    </w:p>
  </w:comment>
  <w:comment w:id="13" w:author="" w:date="2019-08-28T09:29:51Z" w:initials="">
    <w:p>
      <w:r>
        <w:rPr>
          <w:rFonts w:eastAsia="Segoe UI" w:cs="Tahoma"/>
          <w:color w:val="auto"/>
          <w:lang w:val="en-US" w:eastAsia="en-US" w:bidi="en-US"/>
        </w:rPr>
        <w:t>&lt;!---- table name="filia" desc="2.7 Відомості про рішення емітента про утворення, припинення його філій, представництв" ----&gt;</w:t>
      </w:r>
    </w:p>
  </w:comment>
  <w:comment w:id="14" w:author="" w:date="2019-08-28T09:29:51Z" w:initials="">
    <w:p>
      <w:r>
        <w:rPr>
          <w:rFonts w:eastAsia="Segoe UI" w:cs="Tahoma"/>
          <w:color w:val="auto"/>
          <w:lang w:val="en-US" w:eastAsia="en-US" w:bidi="en-US"/>
        </w:rPr>
        <w:t>&lt;!---- table name="zmen_sk" desc="2.8 Відомості про рішення вищого органу емітента про зменшення статутного капіталу" ----&gt;</w:t>
      </w:r>
    </w:p>
  </w:comment>
  <w:comment w:id="15" w:author="" w:date="2019-08-28T09:29:51Z" w:initials="">
    <w:p>
      <w:r>
        <w:rPr>
          <w:rFonts w:eastAsia="Segoe UI" w:cs="Tahoma"/>
          <w:color w:val="auto"/>
          <w:lang w:val="en-US" w:eastAsia="en-US" w:bidi="en-US"/>
        </w:rPr>
        <w:t>&lt;!---- table name="bankr_o" desc="2.9 Відомості про порушення справи про банкрутство емітента" ----&gt;</w:t>
      </w:r>
    </w:p>
  </w:comment>
  <w:comment w:id="16" w:author="" w:date="2019-08-28T09:29:51Z" w:initials="">
    <w:p>
      <w:r>
        <w:rPr>
          <w:rFonts w:eastAsia="Segoe UI" w:cs="Tahoma"/>
          <w:color w:val="auto"/>
          <w:lang w:val="en-US" w:eastAsia="en-US" w:bidi="en-US"/>
        </w:rPr>
        <w:t>&lt;!---- table name="sanacia" desc="2.10 Відомості про винесення ухвали про санацію емітента" ----&gt;</w:t>
      </w:r>
    </w:p>
  </w:comment>
  <w:comment w:id="17" w:author="" w:date="2019-08-28T09:29:51Z" w:initials="">
    <w:p>
      <w:r>
        <w:rPr>
          <w:rFonts w:eastAsia="Segoe UI" w:cs="Tahoma"/>
          <w:color w:val="auto"/>
          <w:lang w:val="en-US" w:eastAsia="en-US" w:bidi="en-US"/>
        </w:rPr>
        <w:t>&lt;!---- table name="zlyttya" desc="2.11 Відомості про припинення емітента шляхом злиття, приєднання, поділу, перетворення або банкрутства за рішенням вищого органу емітента або суду" ----&gt;</w:t>
      </w:r>
    </w:p>
  </w:comment>
  <w:comment w:id="18" w:author="" w:date="2019-08-28T09:29:51Z" w:initials="">
    <w:p>
      <w:r>
        <w:rPr>
          <w:rFonts w:eastAsia="Segoe UI" w:cs="Tahoma"/>
          <w:color w:val="auto"/>
          <w:lang w:val="en-US" w:eastAsia="en-US" w:bidi="en-US"/>
        </w:rPr>
        <w:t>&lt;!---- table name="likv_voe" desc="2.12 Відомості про припинення емітента шляхом ліквідації за рішенням вищого органу емітента" ----&gt;</w:t>
      </w:r>
    </w:p>
  </w:comment>
  <w:comment w:id="19" w:author="" w:date="2019-08-28T09:29:51Z" w:initials="">
    <w:p>
      <w:r>
        <w:rPr>
          <w:rFonts w:eastAsia="Segoe UI" w:cs="Tahoma"/>
          <w:color w:val="auto"/>
          <w:lang w:val="en-US" w:eastAsia="en-US" w:bidi="en-US"/>
        </w:rPr>
        <w:t>&lt;!---- table name="likv_sud" desc="2.13 Відомості про припинення емітента шляхом ліквідації за рішенням суду" ----&gt;</w:t>
      </w:r>
    </w:p>
  </w:comment>
  <w:comment w:id="20" w:author="" w:date="2019-08-28T09:29:51Z" w:initials="">
    <w:p>
      <w:r>
        <w:rPr>
          <w:rFonts w:eastAsia="Segoe UI" w:cs="Tahoma"/>
          <w:color w:val="auto"/>
          <w:lang w:val="en-US" w:eastAsia="en-US" w:bidi="en-US"/>
        </w:rPr>
        <w:t>&lt;!---- table name="vykupos" desc="2.14.</w:t>
      </w:r>
      <w:r>
        <w:rPr>
          <w:rFonts w:eastAsia="Segoe UI" w:cs="Tahoma"/>
          <w:color w:val="auto"/>
          <w:lang w:val="en-US" w:eastAsia="en-US" w:bidi="en-US"/>
        </w:rPr>
      </w:r>
      <w:r>
        <w:rPr>
          <w:rFonts w:eastAsia="Segoe UI" w:cs="Tahoma"/>
          <w:color w:val="auto"/>
          <w:lang w:val="en-US" w:eastAsia="en-US" w:bidi="en-US"/>
        </w:rPr>
        <w:t>Повідомлення про викуп акцій понад порогові значення пакета акцій" ----&gt;</w:t>
      </w:r>
    </w:p>
  </w:comment>
  <w:comment w:id="21" w:author="" w:date="2019-08-28T09:29:51Z" w:initials="">
    <w:p>
      <w:r>
        <w:rPr>
          <w:rFonts w:eastAsia="Segoe UI" w:cs="Tahoma"/>
          <w:color w:val="auto"/>
          <w:lang w:val="en-US" w:eastAsia="en-US" w:bidi="en-US"/>
        </w:rPr>
        <w:t>&lt;!---- table name="chartch" desc="2.15.</w:t>
      </w:r>
      <w:r>
        <w:rPr>
          <w:rFonts w:eastAsia="Segoe UI" w:cs="Tahoma"/>
          <w:color w:val="auto"/>
          <w:lang w:val="en-US" w:eastAsia="en-US" w:bidi="en-US"/>
        </w:rPr>
      </w:r>
      <w:r>
        <w:rPr>
          <w:rFonts w:eastAsia="Segoe UI" w:cs="Tahoma"/>
          <w:color w:val="auto"/>
          <w:lang w:val="en-US" w:eastAsia="en-US" w:bidi="en-US"/>
        </w:rPr>
        <w:t>Відомості про зміни до статуту, пов’язані зі зміною прав акціонерів" ----&gt;</w:t>
      </w:r>
    </w:p>
  </w:comment>
  <w:comment w:id="22" w:author="" w:date="2019-08-28T09:29:51Z" w:initials="">
    <w:p>
      <w:r>
        <w:rPr>
          <w:rFonts w:eastAsia="Segoe UI" w:cs="Tahoma"/>
          <w:color w:val="auto"/>
          <w:lang w:val="en-US" w:eastAsia="en-US" w:bidi="en-US"/>
        </w:rPr>
        <w:t>&lt;!---- table name="fundch" desc="2.16</w:t>
      </w:r>
      <w:r>
        <w:rPr>
          <w:rFonts w:eastAsia="Segoe UI" w:cs="Tahoma"/>
          <w:color w:val="auto"/>
          <w:lang w:val="en-US" w:eastAsia="en-US" w:bidi="en-US"/>
        </w:rPr>
      </w:r>
      <w:r>
        <w:rPr>
          <w:rFonts w:eastAsia="Segoe UI" w:cs="Tahoma"/>
          <w:color w:val="auto"/>
          <w:lang w:val="en-US" w:eastAsia="en-US" w:bidi="en-US"/>
        </w:rPr>
        <w:t>Відомості про кількість голосуючих акцій та розмір статутного капіталу за результатами його збільшення або зменшення" ----&gt;</w:t>
      </w:r>
    </w:p>
  </w:comment>
  <w:comment w:id="23" w:author="" w:date="2019-08-28T09:29:51Z" w:initials="">
    <w:p>
      <w:r>
        <w:rPr>
          <w:rFonts w:eastAsia="Segoe UI" w:cs="Tahoma"/>
          <w:color w:val="auto"/>
          <w:lang w:val="en-US" w:eastAsia="en-US" w:bidi="en-US"/>
        </w:rPr>
        <w:t>&lt;!---- table name="jsctyp_o" desc="2.17 Відомості про зміну типу акціонерного товариства" ----&gt;</w:t>
      </w:r>
    </w:p>
  </w:comment>
  <w:comment w:id="24" w:author="" w:date="2019-08-28T09:29:51Z" w:initials="">
    <w:p>
      <w:r>
        <w:rPr>
          <w:rFonts w:eastAsia="Segoe UI" w:cs="Tahoma"/>
          <w:color w:val="auto"/>
          <w:lang w:val="en-US" w:eastAsia="en-US" w:bidi="en-US"/>
        </w:rPr>
        <w:t>&lt;!---- table name="chartbo" desc="2.18.</w:t>
      </w:r>
      <w:r>
        <w:rPr>
          <w:rFonts w:eastAsia="Segoe UI" w:cs="Tahoma"/>
          <w:color w:val="auto"/>
          <w:lang w:val="en-US" w:eastAsia="en-US" w:bidi="en-US"/>
        </w:rPr>
      </w:r>
      <w:r>
        <w:rPr>
          <w:rFonts w:eastAsia="Segoe UI" w:cs="Tahoma"/>
          <w:color w:val="auto"/>
          <w:lang w:val="en-US" w:eastAsia="en-US" w:bidi="en-US"/>
        </w:rPr>
        <w:t>Відомості про зміни до статуту приватного акціонерного товариства, пов’язані із переважним правом акціонерів на придбання акцій цього товариства" ----&gt;</w:t>
      </w:r>
    </w:p>
  </w:comment>
  <w:comment w:id="25" w:author="" w:date="2019-08-28T09:29:51Z" w:initials="">
    <w:p>
      <w:r>
        <w:rPr>
          <w:rFonts w:eastAsia="Segoe UI" w:cs="Tahoma"/>
          <w:color w:val="auto"/>
          <w:lang w:val="en-US" w:eastAsia="en-US" w:bidi="en-US"/>
        </w:rPr>
        <w:t>&lt;!---- table name="zam_rip" desc="2.19 Відомості про заміни у реєстрі іпотечного покриття або реєстрі забезпечення іпотечних сертифікатів за кожним консолідованим іпотечним боргом*" ----&gt;</w:t>
      </w:r>
    </w:p>
  </w:comment>
  <w:comment w:id="26" w:author="" w:date="2019-08-28T09:29:51Z" w:initials="">
    <w:p>
      <w:r>
        <w:rPr>
          <w:rFonts w:eastAsia="Segoe UI" w:cs="Tahoma"/>
          <w:color w:val="auto"/>
          <w:lang w:val="en-US" w:eastAsia="en-US" w:bidi="en-US"/>
        </w:rPr>
        <w:t>&lt;!---- table name="zam_uip" desc="2.20 Відомості про заміну управителя іпотечного покриття, управителя іпотечних активів" ----&gt;</w:t>
      </w:r>
    </w:p>
  </w:comment>
  <w:comment w:id="27" w:author="" w:date="2019-08-28T09:29:51Z" w:initials="">
    <w:p>
      <w:r>
        <w:rPr>
          <w:rFonts w:eastAsia="Segoe UI" w:cs="Tahoma"/>
          <w:color w:val="auto"/>
          <w:lang w:val="en-US" w:eastAsia="en-US" w:bidi="en-US"/>
        </w:rPr>
        <w:t>&lt;!---- table name="pog_io" desc="2.21 Відомості про дострокове погашення іпотечних облігацій" ----&gt;</w:t>
      </w:r>
    </w:p>
  </w:comment>
  <w:comment w:id="28" w:author="" w:date="2019-08-28T09:29:51Z" w:initials="">
    <w:p>
      <w:r>
        <w:rPr>
          <w:rFonts w:eastAsia="Segoe UI" w:cs="Tahoma"/>
          <w:color w:val="auto"/>
          <w:lang w:val="en-US" w:eastAsia="en-US" w:bidi="en-US"/>
        </w:rPr>
        <w:t>&lt;!---- table name="zm_pre" desc="2.22 Відомості про внесення змін до проспекту емісії іпотечних цінних паперів" ----&gt;</w:t>
      </w:r>
    </w:p>
  </w:comment>
  <w:comment w:id="29" w:author="" w:date="2019-08-28T09:29:51Z" w:initials="">
    <w:p>
      <w:r>
        <w:rPr>
          <w:rFonts w:eastAsia="Segoe UI" w:cs="Tahoma"/>
          <w:color w:val="auto"/>
          <w:lang w:val="en-US" w:eastAsia="en-US" w:bidi="en-US"/>
        </w:rPr>
        <w:t>&lt;!---- table name="ufon_sud" desc="2.23 Відомості про заміну управителя ФОН за рішенням суду" ----&gt;</w:t>
      </w:r>
    </w:p>
  </w:comment>
  <w:comment w:id="30" w:author="" w:date="2019-08-28T09:29:51Z" w:initials="">
    <w:p>
      <w:r>
        <w:rPr>
          <w:rFonts w:eastAsia="Segoe UI" w:cs="Tahoma"/>
          <w:color w:val="auto"/>
          <w:lang w:val="en-US" w:eastAsia="en-US" w:bidi="en-US"/>
        </w:rPr>
        <w:t>&lt;!---- table name="ufon_pr" desc="2.24 Відомості про заміну управителя ФОН у разі припинення управителя ФОН" ----&gt;</w:t>
      </w:r>
    </w:p>
  </w:comment>
  <w:comment w:id="31" w:author="" w:date="2019-08-28T09:29:51Z" w:initials="">
    <w:p>
      <w:r>
        <w:rPr>
          <w:rFonts w:eastAsia="Segoe UI" w:cs="Tahoma"/>
          <w:color w:val="auto"/>
          <w:lang w:val="en-US" w:eastAsia="en-US" w:bidi="en-US"/>
        </w:rPr>
        <w:t>&lt;!---- table name="pryp_fon" desc="2.25 Відомості про припинення функціонування ФОН" ----&gt;</w:t>
      </w:r>
    </w:p>
  </w:comment>
  <w:comment w:id="32" w:author="" w:date="2019-08-28T09:29:51Z" w:initials="">
    <w:p>
      <w:r>
        <w:rPr>
          <w:rFonts w:eastAsia="Segoe UI" w:cs="Tahoma"/>
          <w:color w:val="auto"/>
          <w:lang w:val="en-US" w:eastAsia="en-US" w:bidi="en-US"/>
        </w:rPr>
        <w:t>&lt;!---- table name="trans_ia" desc="2.26 Відомості про трансформацію (перетворення) іпотечних активів, які забезпечують виконання зобов'язань за розміщеними іпотечними сертифікатами" ----&gt;</w:t>
      </w:r>
    </w:p>
  </w:comment>
  <w:comment w:id="33" w:author="" w:date="2019-08-28T09:29:51Z" w:initials="">
    <w:p>
      <w:r>
        <w:rPr>
          <w:rFonts w:eastAsia="Segoe UI" w:cs="Tahoma"/>
          <w:color w:val="auto"/>
          <w:lang w:val="en-US" w:eastAsia="en-US" w:bidi="en-US"/>
        </w:rPr>
        <w:t>&lt;!---- table name="zam_ofu" desc="2.27 Відомості про заміну фінансової установи, яка обслуговує іпотечні активи у складі іпотечного покриття" ----&gt;</w:t>
      </w:r>
    </w:p>
  </w:comment>
  <w:comment w:id="34" w:author="" w:date="2019-08-28T09:29:51Z" w:initials="">
    <w:p>
      <w:r>
        <w:rPr>
          <w:rFonts w:eastAsia="Segoe UI" w:cs="Tahoma"/>
          <w:color w:val="auto"/>
          <w:lang w:val="en-US" w:eastAsia="en-US" w:bidi="en-US"/>
        </w:rPr>
        <w:t>&lt;!---- table name="zv_sip" desc="2.28 Відомості про звернення стягнення на іпотечне покриття" ----&gt;</w:t>
      </w:r>
    </w:p>
  </w:comment>
  <w:comment w:id="35" w:author="" w:date="2019-08-28T09:29:51Z" w:initials="">
    <w:p>
      <w:r>
        <w:rPr>
          <w:rFonts w:eastAsia="Segoe UI" w:cs="Tahoma"/>
          <w:color w:val="auto"/>
          <w:lang w:val="en-US" w:eastAsia="en-US" w:bidi="en-US"/>
        </w:rPr>
        <w:t>&lt;!---- table name="konv_is" desc="2.29 Відомості про конвертацію іпотечних сертифікатів або сертифікатів ФОН" ----&gt;</w:t>
      </w:r>
    </w:p>
  </w:comment>
  <w:comment w:id="36" w:author="" w:date="2019-08-28T09:29:51Z" w:initials="">
    <w:p>
      <w:r>
        <w:rPr>
          <w:rFonts w:eastAsia="Segoe UI" w:cs="Tahoma"/>
          <w:color w:val="auto"/>
          <w:lang w:val="en-US" w:eastAsia="en-US" w:bidi="en-US"/>
        </w:rPr>
        <w:t>&lt;!---- table name="pryz_dog" desc="2.30 Відомості про прийняття рішення органом виконавчої влади про призупинення дії дозволів на право здійснення емісії іпотечних сертифікатів або сертифікатів ФОН" ----&gt;</w:t>
      </w:r>
    </w:p>
  </w:comment>
  <w:comment w:id="37" w:author="" w:date="2019-08-28T09:29:51Z" w:initials="">
    <w:p>
      <w:r>
        <w:rPr>
          <w:rFonts w:eastAsia="Segoe UI" w:cs="Tahoma"/>
          <w:color w:val="auto"/>
          <w:lang w:val="en-US" w:eastAsia="en-US" w:bidi="en-US"/>
        </w:rPr>
        <w:t>&lt;!---- table name="vlasn_tpr" desc="2.31.</w:t>
      </w:r>
      <w:r>
        <w:rPr>
          <w:rFonts w:eastAsia="Segoe UI" w:cs="Tahoma"/>
          <w:color w:val="auto"/>
          <w:lang w:val="en-US" w:eastAsia="en-US" w:bidi="en-US"/>
        </w:rPr>
      </w:r>
      <w:r>
        <w:rPr>
          <w:rFonts w:eastAsia="Segoe UI" w:cs="Tahoma"/>
          <w:color w:val="auto"/>
          <w:lang w:val="en-US" w:eastAsia="en-US" w:bidi="en-US"/>
        </w:rPr>
        <w:t>Відомості про зміну акціонерів, яким належать голосуючі акції, розмір пакета яких стає більшим, меншим або рівним пороговому значенню пакета акцій" ----&gt;</w:t>
      </w:r>
    </w:p>
  </w:comment>
  <w:comment w:id="38" w:author="" w:date="2019-08-28T09:29:51Z" w:initials="">
    <w:p>
      <w:r>
        <w:rPr>
          <w:rFonts w:eastAsia="Segoe UI" w:cs="Tahoma"/>
          <w:color w:val="auto"/>
          <w:lang w:val="en-US" w:eastAsia="en-US" w:bidi="en-US"/>
        </w:rPr>
        <w:t>&lt;!---- table name="vlasn" desc="2.34.</w:t>
      </w:r>
      <w:r>
        <w:rPr>
          <w:rFonts w:eastAsia="Segoe UI" w:cs="Tahoma"/>
          <w:color w:val="auto"/>
          <w:lang w:val="en-US" w:eastAsia="en-US" w:bidi="en-US"/>
        </w:rPr>
      </w:r>
      <w:r>
        <w:rPr>
          <w:rFonts w:eastAsia="Segoe UI" w:cs="Tahoma"/>
          <w:color w:val="auto"/>
          <w:lang w:val="en-US" w:eastAsia="en-US" w:bidi="en-US"/>
        </w:rPr>
        <w:t>Відомості про набуття прямо або опосередковано особою (особами, що діють спільно) з урахуванням кількості акцій, які належать їй та її афілійованим особам: контрольного пакета у розмірі 50 і більше відсотків простих акцій акціонерного товариства; значного контрольного пакета у розмірі 75 і більше відсотків простих акцій публічного акціонерного товариства; домінуючого контрольного пакета у розмірі 95 і більше відсотків простих акцій акціонерного товариства" ----&gt;</w:t>
      </w:r>
    </w:p>
  </w:comment>
  <w:comment w:id="39" w:author="" w:date="2019-08-28T09:29:51Z" w:initials="">
    <w:p>
      <w:r>
        <w:rPr>
          <w:rFonts w:eastAsia="Segoe UI" w:cs="Tahoma"/>
          <w:color w:val="auto"/>
          <w:lang w:val="en-US" w:eastAsia="en-US" w:bidi="en-US"/>
        </w:rPr>
        <w:t>&lt;!---- table name="deal_ba" desc="2.35 Відомості про прийняття рішення про попереднє надання згоди на вчинення значних правочинів" ----&gt;</w:t>
      </w:r>
    </w:p>
  </w:comment>
  <w:comment w:id="40" w:author="" w:date="2019-08-28T09:29:51Z" w:initials="">
    <w:p>
      <w:r>
        <w:rPr>
          <w:rFonts w:eastAsia="Segoe UI" w:cs="Tahoma"/>
          <w:color w:val="auto"/>
          <w:lang w:val="en-US" w:eastAsia="en-US" w:bidi="en-US"/>
        </w:rPr>
        <w:t>&lt;!---- table name="deal_bc" desc="2.36 Відомості про прийняття рішення про надання згоди на вчинення значних правочинів" ----&gt;</w:t>
      </w:r>
    </w:p>
  </w:comment>
  <w:comment w:id="41" w:author="" w:date="2019-08-28T09:29:51Z" w:initials="">
    <w:p>
      <w:r>
        <w:rPr>
          <w:rFonts w:eastAsia="Segoe UI" w:cs="Tahoma"/>
          <w:color w:val="auto"/>
          <w:lang w:val="en-US" w:eastAsia="en-US" w:bidi="en-US"/>
        </w:rPr>
        <w:t>&lt;!---- table name="deal_wi" desc="2.37 Відомості  про  прийняття  рішення  про  надання  згоди  на  вчинення правочинів, щодо вчинення яких є заінтересованість" ----&gt;</w:t>
      </w:r>
    </w:p>
  </w:comment>
  <w:comment w:id="42" w:author="" w:date="2019-08-28T09:29:51Z" w:initials="">
    <w:p>
      <w:r>
        <w:rPr>
          <w:rFonts w:eastAsia="Segoe UI" w:cs="Tahoma"/>
          <w:color w:val="auto"/>
          <w:lang w:val="en-US" w:eastAsia="en-US" w:bidi="en-US"/>
        </w:rPr>
        <w:t>&lt;!---- table name="dmgsproc" desc="2.38 Відомості про порушення провадження у справі про відшкодування емітенту збитків, завданих посадовою особою такого емітента" ----&gt;</w:t>
      </w:r>
    </w:p>
  </w:comment>
  <w:comment w:id="43" w:author="" w:date="2019-08-28T09:29:51Z" w:initials="">
    <w:p>
      <w:r>
        <w:rPr>
          <w:rFonts w:eastAsia="Segoe UI" w:cs="Tahoma"/>
          <w:color w:val="auto"/>
          <w:lang w:val="en-US" w:eastAsia="en-US" w:bidi="en-US"/>
        </w:rPr>
        <w:t>&lt;!---- table name="debtguar" desc="2.39 Відомості  про  заміну поручителя (страховика,  гаранта),  що здійснює забезпечення випуску боргових цінних паперів" ----&gt;</w:t>
      </w:r>
    </w:p>
  </w:comment>
  <w:comment w:id="44" w:author="" w:date="2019-08-28T09:29:51Z" w:initials="">
    <w:p>
      <w:r>
        <w:rPr>
          <w:rFonts w:eastAsia="Segoe UI" w:cs="Tahoma"/>
          <w:color w:val="auto"/>
          <w:lang w:val="en-US" w:eastAsia="en-US" w:bidi="en-US"/>
        </w:rPr>
        <w:t>&lt;!---- table name="divpaydc" desc="2.40 Відомості про прийняття рішення про виплату дивідендів" ----&gt;</w:t>
      </w:r>
    </w:p>
  </w:comment>
  <w:comment w:id="45" w:author="" w:date="2019-08-28T09:29:51Z" w:initials="">
    <w:p>
      <w:r>
        <w:rPr>
          <w:rFonts w:eastAsia="Segoe UI" w:cs="Tahoma"/>
          <w:color w:val="auto"/>
          <w:lang w:val="en-US" w:eastAsia="en-US" w:bidi="en-US"/>
        </w:rPr>
        <w:t>&lt;!---- table name="brdfeerp" desc="2.19.</w:t>
      </w:r>
      <w:r>
        <w:rPr>
          <w:rFonts w:eastAsia="Segoe UI" w:cs="Tahoma"/>
          <w:color w:val="auto"/>
          <w:lang w:val="en-US" w:eastAsia="en-US" w:bidi="en-US"/>
        </w:rPr>
      </w:r>
      <w:r>
        <w:rPr>
          <w:rFonts w:eastAsia="Segoe UI" w:cs="Tahoma"/>
          <w:color w:val="auto"/>
          <w:lang w:val="en-US" w:eastAsia="en-US" w:bidi="en-US"/>
        </w:rPr>
        <w:t>Інформація про затвердження звіту про винагороду членів наглядової ради та/або звіту про винагороду членів виконавчого органу" ----&gt;</w:t>
      </w:r>
    </w:p>
  </w:comment>
  <w:comment w:id="46" w:author="" w:date="2019-08-28T09:29:51Z" w:initials="">
    <w:p>
      <w:r>
        <w:rPr>
          <w:rFonts w:eastAsia="Segoe UI" w:cs="Tahoma"/>
          <w:color w:val="auto"/>
          <w:lang w:val="en-US" w:eastAsia="en-US" w:bidi="en-US"/>
        </w:rPr>
        <w:t>&lt;!---- table name="website" desc="2.42.</w:t>
      </w:r>
      <w:r>
        <w:rPr>
          <w:rFonts w:eastAsia="Segoe UI" w:cs="Tahoma"/>
          <w:color w:val="auto"/>
          <w:lang w:val="en-US" w:eastAsia="en-US" w:bidi="en-US"/>
        </w:rPr>
      </w:r>
      <w:r>
        <w:rPr>
          <w:rFonts w:eastAsia="Segoe UI" w:cs="Tahoma"/>
          <w:color w:val="auto"/>
          <w:lang w:val="en-US" w:eastAsia="en-US" w:bidi="en-US"/>
        </w:rPr>
        <w:t>Відомості про зміну адреси власного веб-сайту емітента" ----&gt;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Cs w:val="24"/>
        <w:lang w:val="uk-UA" w:eastAsia="zh-CN" w:bidi="hi-IN"/>
      </w:rPr>
    </w:rPrDefault>
    <w:pPrDefault>
      <w:pPr/>
    </w:pPrDefault>
  </w:docDefaults>
  <w:style w:type="paragraph" w:styleId="Normal">
    <w:name w:val="Normal"/>
    <w:qFormat/>
    <w:pPr>
      <w:widowControl w:val="false"/>
      <w:bidi w:val="0"/>
      <w:jc w:val="left"/>
    </w:pPr>
    <w:rPr>
      <w:rFonts w:ascii="Liberation Serif" w:hAnsi="Liberation Serif" w:eastAsia="NSimSun" w:cs="Mangal"/>
      <w:color w:val="000000"/>
      <w:kern w:val="0"/>
      <w:sz w:val="24"/>
      <w:szCs w:val="24"/>
      <w:lang w:val="uk-UA" w:eastAsia="zh-CN" w:bidi="hi-IN"/>
    </w:rPr>
  </w:style>
  <w:style w:type="paragraph" w:styleId="3">
    <w:name w:val="Heading 3"/>
    <w:basedOn w:val="Style12"/>
    <w:next w:val="Style13"/>
    <w:qFormat/>
    <w:pPr>
      <w:spacing w:before="140" w:after="120"/>
      <w:outlineLvl w:val="2"/>
    </w:pPr>
    <w:rPr>
      <w:rFonts w:ascii="Liberation Serif" w:hAnsi="Liberation Serif" w:eastAsia="NSimSun" w:cs="Mangal"/>
      <w:b/>
      <w:bCs/>
      <w:sz w:val="28"/>
      <w:szCs w:val="28"/>
    </w:rPr>
  </w:style>
  <w:style w:type="paragraph" w:styleId="4">
    <w:name w:val="Heading 4"/>
    <w:basedOn w:val="Style12"/>
    <w:next w:val="Style13"/>
    <w:qFormat/>
    <w:pPr>
      <w:spacing w:before="120" w:after="120"/>
      <w:outlineLvl w:val="3"/>
    </w:pPr>
    <w:rPr>
      <w:rFonts w:ascii="Liberation Serif" w:hAnsi="Liberation Serif" w:eastAsia="NSimSun" w:cs="Mangal"/>
      <w:b/>
      <w:bCs/>
      <w:sz w:val="24"/>
      <w:szCs w:val="24"/>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MsoNormal">
    <w:name w:val="Основной текст.MsoNormal"/>
    <w:basedOn w:val="Style13"/>
    <w:qFormat/>
    <w:pPr/>
    <w:rPr/>
  </w:style>
  <w:style w:type="paragraph" w:styleId="Style17">
    <w:name w:val="Содержимое таблицы"/>
    <w:basedOn w:val="Normal"/>
    <w:qFormat/>
    <w:pPr>
      <w:suppressLineNumbers/>
    </w:pPr>
    <w:rPr/>
  </w:style>
  <w:style w:type="paragraph" w:styleId="Style18">
    <w:name w:val="Заголовок таблицы"/>
    <w:basedOn w:val="Style17"/>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37</TotalTime>
  <Application>LibreOffice/6.1.4.2$Windows_x86 LibreOffice_project/9d0f32d1f0b509096fd65e0d4bec26ddd1938fd3</Application>
  <Pages>2</Pages>
  <Words>521</Words>
  <Characters>3584</Characters>
  <CharactersWithSpaces>4068</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2019-08-29T11:20:41Z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iginator">
    <vt:lpwstr>Microsoft Word 12</vt:lpwstr>
  </property>
  <property fmtid="{D5CDD505-2E9C-101B-9397-08002B2CF9AE}" pid="3" name="ProgId">
    <vt:lpwstr>Word.Document</vt:lpwstr>
  </property>
</Properties>
</file>