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jc w:val="center"/>
        <w:rPr/>
      </w:pPr>
      <w:r>
        <w:rPr>
          <w:b/>
          <w:sz w:val="20"/>
          <w:szCs w:val="20"/>
        </w:rPr>
        <w:t>БЮЛЕТЕНЬ</w:t>
      </w:r>
    </w:p>
    <w:p>
      <w:pPr>
        <w:pStyle w:val="Normal"/>
        <w:jc w:val="center"/>
        <w:rPr/>
      </w:pPr>
      <w:r>
        <w:rPr>
          <w:b/>
          <w:sz w:val="20"/>
          <w:szCs w:val="20"/>
        </w:rPr>
        <w:t>для голосування на річних загальних зборах акціонерів</w:t>
      </w:r>
    </w:p>
    <w:p>
      <w:pPr>
        <w:pStyle w:val="Normal"/>
        <w:jc w:val="center"/>
        <w:rPr/>
      </w:pPr>
      <w:r>
        <w:rPr>
          <w:b/>
          <w:sz w:val="20"/>
          <w:szCs w:val="20"/>
        </w:rPr>
        <w:t>Приватного акціонерного товариства «Полімпекс» (ідентифікаційний код 14367460)</w:t>
      </w:r>
    </w:p>
    <w:p>
      <w:pPr>
        <w:pStyle w:val="Normal"/>
        <w:ind w:left="-709" w:hanging="0"/>
        <w:jc w:val="center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jc w:val="center"/>
        <w:rPr/>
      </w:pPr>
      <w:r>
        <w:rPr>
          <w:color w:val="000000"/>
          <w:sz w:val="16"/>
          <w:szCs w:val="16"/>
          <w:shd w:fill="FFFFFF" w:val="clear"/>
        </w:rPr>
        <w:t>(голосування на річних</w:t>
      </w:r>
      <w:r>
        <w:rPr>
          <w:sz w:val="16"/>
          <w:szCs w:val="16"/>
        </w:rPr>
        <w:t xml:space="preserve"> загальних зборах акціонерів</w:t>
      </w:r>
    </w:p>
    <w:p>
      <w:pPr>
        <w:pStyle w:val="Normal"/>
        <w:jc w:val="center"/>
        <w:rPr/>
      </w:pPr>
      <w:r>
        <w:rPr>
          <w:sz w:val="16"/>
          <w:szCs w:val="16"/>
        </w:rPr>
        <w:t>Приватного акціонерного товариства «ПОЛІМПЕКС»</w:t>
      </w:r>
    </w:p>
    <w:p>
      <w:pPr>
        <w:pStyle w:val="Normal"/>
        <w:widowControl w:val="false"/>
        <w:ind w:left="-709" w:hanging="0"/>
        <w:jc w:val="center"/>
        <w:rPr/>
      </w:pPr>
      <w:r>
        <w:rPr>
          <w:color w:val="000000"/>
          <w:sz w:val="16"/>
          <w:szCs w:val="16"/>
          <w:shd w:fill="FFFFFF" w:val="clear"/>
        </w:rPr>
        <w:t xml:space="preserve"> </w:t>
      </w:r>
      <w:r>
        <w:rPr>
          <w:color w:val="000000"/>
          <w:sz w:val="16"/>
          <w:szCs w:val="16"/>
          <w:shd w:fill="FFFFFF" w:val="clear"/>
        </w:rPr>
        <w:t xml:space="preserve">починається </w:t>
      </w:r>
      <w:r>
        <w:rPr>
          <w:color w:val="000000"/>
          <w:sz w:val="16"/>
          <w:szCs w:val="16"/>
          <w:shd w:fill="FFFFFF" w:val="clear"/>
          <w:lang w:val="uk-UA"/>
        </w:rPr>
        <w:t>25 березня</w:t>
      </w:r>
      <w:r>
        <w:rPr>
          <w:color w:val="000000"/>
          <w:sz w:val="16"/>
          <w:szCs w:val="16"/>
          <w:shd w:fill="FFFFFF" w:val="clear"/>
        </w:rPr>
        <w:t xml:space="preserve"> 2025 року об 11 год. 00 хв. та завершується о 18 годині 00 хв. 07 квітня 2025 року)</w:t>
      </w:r>
    </w:p>
    <w:p>
      <w:pPr>
        <w:pStyle w:val="Normal"/>
        <w:widowControl w:val="false"/>
        <w:ind w:left="-709" w:hanging="0"/>
        <w:jc w:val="center"/>
        <w:rPr>
          <w:sz w:val="16"/>
          <w:szCs w:val="16"/>
        </w:rPr>
      </w:pPr>
      <w:r>
        <w:rPr>
          <w:sz w:val="16"/>
          <w:szCs w:val="16"/>
        </w:rPr>
      </w:r>
    </w:p>
    <w:tbl>
      <w:tblPr>
        <w:tblW w:w="9925" w:type="dxa"/>
        <w:jc w:val="lef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5783"/>
        <w:gridCol w:w="4141"/>
      </w:tblGrid>
      <w:tr>
        <w:trPr/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>
                <w:color w:val="000000"/>
                <w:sz w:val="16"/>
                <w:szCs w:val="16"/>
              </w:rPr>
              <w:t>Дата проведення річних загальних зборів</w:t>
            </w:r>
            <w:r>
              <w:rPr>
                <w:color w:val="000000"/>
                <w:sz w:val="16"/>
                <w:szCs w:val="16"/>
                <w:lang w:val="ru-RU"/>
              </w:rPr>
              <w:t xml:space="preserve">: </w:t>
            </w:r>
          </w:p>
        </w:tc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>
                <w:color w:val="000000"/>
                <w:sz w:val="16"/>
                <w:szCs w:val="16"/>
                <w:lang w:val="uk-UA"/>
              </w:rPr>
              <w:t>07</w:t>
            </w:r>
            <w:r>
              <w:rPr>
                <w:color w:val="000000"/>
                <w:sz w:val="16"/>
                <w:szCs w:val="16"/>
                <w:lang w:val="ru-RU"/>
              </w:rPr>
              <w:t xml:space="preserve"> квітня 202</w:t>
            </w:r>
            <w:r>
              <w:rPr>
                <w:color w:val="000000"/>
                <w:sz w:val="16"/>
                <w:szCs w:val="16"/>
                <w:lang w:val="uk-UA"/>
              </w:rPr>
              <w:t>5</w:t>
            </w:r>
            <w:r>
              <w:rPr>
                <w:color w:val="000000"/>
                <w:sz w:val="16"/>
                <w:szCs w:val="16"/>
              </w:rPr>
              <w:t xml:space="preserve"> року</w:t>
            </w:r>
          </w:p>
        </w:tc>
      </w:tr>
      <w:tr>
        <w:trPr/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>
                <w:color w:val="000000"/>
                <w:sz w:val="16"/>
                <w:szCs w:val="16"/>
              </w:rPr>
              <w:t xml:space="preserve">Дата заповнення бюлетеня акціонером (представником акціонера):    </w:t>
            </w:r>
          </w:p>
        </w:tc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Style28"/>
              <w:rPr/>
            </w:pPr>
            <w:r>
              <w:rPr/>
            </w:r>
          </w:p>
        </w:tc>
      </w:tr>
    </w:tbl>
    <w:p>
      <w:pPr>
        <w:pStyle w:val="Normal"/>
        <w:widowControl w:val="false"/>
        <w:ind w:left="-709" w:hanging="0"/>
        <w:jc w:val="center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widowControl w:val="false"/>
        <w:ind w:left="-709" w:hanging="0"/>
        <w:rPr>
          <w:b/>
          <w:b/>
          <w:sz w:val="16"/>
          <w:szCs w:val="16"/>
        </w:rPr>
      </w:pPr>
      <w:r>
        <w:rPr>
          <w:b/>
          <w:sz w:val="16"/>
          <w:szCs w:val="16"/>
        </w:rPr>
      </w:r>
    </w:p>
    <w:tbl>
      <w:tblPr>
        <w:tblW w:w="9968" w:type="dxa"/>
        <w:jc w:val="lef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5826"/>
        <w:gridCol w:w="4141"/>
      </w:tblGrid>
      <w:tr>
        <w:trPr>
          <w:trHeight w:val="335" w:hRule="atLeast"/>
        </w:trPr>
        <w:tc>
          <w:tcPr>
            <w:tcW w:w="9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rPr/>
            </w:pPr>
            <w:r>
              <w:rPr>
                <w:b/>
                <w:bCs/>
                <w:color w:val="000000"/>
                <w:sz w:val="16"/>
                <w:szCs w:val="16"/>
              </w:rPr>
              <w:t>Реквізити акціонера:</w:t>
            </w:r>
          </w:p>
        </w:tc>
      </w:tr>
      <w:tr>
        <w:trPr>
          <w:trHeight w:val="288" w:hRule="atLeast"/>
        </w:trPr>
        <w:tc>
          <w:tcPr>
            <w:tcW w:w="5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>
                <w:bCs/>
                <w:color w:val="000000"/>
                <w:sz w:val="16"/>
                <w:szCs w:val="16"/>
              </w:rPr>
              <w:t>Прізвище, ім’я та по батькові/Найменування акціонера</w:t>
            </w:r>
          </w:p>
        </w:tc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/>
            </w:pPr>
            <w:r>
              <w:rPr/>
            </w:r>
          </w:p>
        </w:tc>
      </w:tr>
      <w:tr>
        <w:trPr>
          <w:trHeight w:val="450" w:hRule="atLeast"/>
        </w:trPr>
        <w:tc>
          <w:tcPr>
            <w:tcW w:w="5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>
                <w:sz w:val="16"/>
                <w:szCs w:val="16"/>
              </w:rPr>
              <w:t xml:space="preserve">Назва, серія (за наявності), номер, дата видачі документа, що посвідчує особу акціонера </w:t>
            </w:r>
            <w:r>
              <w:rPr>
                <w:i/>
                <w:sz w:val="16"/>
                <w:szCs w:val="16"/>
              </w:rPr>
              <w:t>(для фізичної особи)</w:t>
            </w:r>
          </w:p>
        </w:tc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jc w:val="both"/>
              <w:rPr/>
            </w:pPr>
            <w:r>
              <w:rPr/>
            </w:r>
          </w:p>
        </w:tc>
      </w:tr>
      <w:tr>
        <w:trPr>
          <w:trHeight w:val="1592" w:hRule="atLeast"/>
        </w:trPr>
        <w:tc>
          <w:tcPr>
            <w:tcW w:w="5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>
                <w:sz w:val="16"/>
                <w:szCs w:val="16"/>
              </w:rPr>
              <w:t xml:space="preserve">Реєстраційний номер облікової картки платника податків </w:t>
            </w:r>
            <w:r>
              <w:rPr>
                <w:i/>
                <w:sz w:val="16"/>
                <w:szCs w:val="16"/>
              </w:rPr>
              <w:t>(для акціонера –  фізичної особи (за наявності))</w:t>
            </w:r>
          </w:p>
          <w:p>
            <w:pPr>
              <w:pStyle w:val="Normal"/>
              <w:rPr/>
            </w:pPr>
            <w:r>
              <w:rPr>
                <w:sz w:val="16"/>
                <w:szCs w:val="16"/>
              </w:rPr>
              <w:t>або</w:t>
            </w:r>
          </w:p>
          <w:p>
            <w:pPr>
              <w:pStyle w:val="Normal"/>
              <w:rPr/>
            </w:pPr>
            <w:r>
              <w:rPr>
                <w:sz w:val="16"/>
                <w:szCs w:val="16"/>
              </w:rPr>
              <w:t xml:space="preserve">ідентифікаційний код юридичної особи (Код за ЄДРПОУ) – акціонера  </w:t>
            </w:r>
            <w:r>
              <w:rPr>
                <w:i/>
                <w:sz w:val="16"/>
                <w:szCs w:val="16"/>
              </w:rPr>
              <w:t>(для юридичних осіб зареєстрованих в Україні)</w:t>
            </w:r>
            <w:r>
              <w:rPr>
                <w:sz w:val="16"/>
                <w:szCs w:val="16"/>
              </w:rPr>
              <w:t xml:space="preserve"> або реєстраційний номер з торговельного, судового або банківського реєстру країни реєстрації юридичної особи – акціонера </w:t>
            </w:r>
            <w:r>
              <w:rPr>
                <w:i/>
                <w:sz w:val="16"/>
                <w:szCs w:val="16"/>
              </w:rPr>
              <w:t>(для юридичних осіб зареєстрованих поза територією України)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/>
            </w:pPr>
            <w:r>
              <w:rPr/>
            </w:r>
          </w:p>
        </w:tc>
      </w:tr>
    </w:tbl>
    <w:p>
      <w:pPr>
        <w:pStyle w:val="Normal"/>
        <w:widowControl w:val="false"/>
        <w:ind w:left="-709" w:hanging="0"/>
        <w:jc w:val="center"/>
        <w:rPr>
          <w:b/>
          <w:b/>
          <w:sz w:val="16"/>
          <w:szCs w:val="16"/>
        </w:rPr>
      </w:pPr>
      <w:r>
        <w:rPr>
          <w:b/>
          <w:sz w:val="16"/>
          <w:szCs w:val="16"/>
        </w:rPr>
      </w:r>
    </w:p>
    <w:p>
      <w:pPr>
        <w:pStyle w:val="Normal"/>
        <w:widowControl w:val="false"/>
        <w:ind w:left="-709" w:hanging="0"/>
        <w:jc w:val="center"/>
        <w:rPr>
          <w:b/>
          <w:b/>
          <w:sz w:val="16"/>
          <w:szCs w:val="16"/>
        </w:rPr>
      </w:pPr>
      <w:r>
        <w:rPr>
          <w:b/>
          <w:sz w:val="16"/>
          <w:szCs w:val="16"/>
        </w:rPr>
      </w:r>
    </w:p>
    <w:tbl>
      <w:tblPr>
        <w:tblW w:w="9865" w:type="dxa"/>
        <w:jc w:val="left"/>
        <w:tblInd w:w="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5722"/>
        <w:gridCol w:w="4142"/>
      </w:tblGrid>
      <w:tr>
        <w:trPr>
          <w:trHeight w:val="392" w:hRule="atLeast"/>
        </w:trPr>
        <w:tc>
          <w:tcPr>
            <w:tcW w:w="98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rPr/>
            </w:pPr>
            <w:r>
              <w:rPr>
                <w:b/>
                <w:sz w:val="16"/>
                <w:szCs w:val="16"/>
              </w:rPr>
              <w:t xml:space="preserve">Реквізити представника акціонера (за наявності):  </w:t>
            </w:r>
          </w:p>
        </w:tc>
      </w:tr>
      <w:tr>
        <w:trPr>
          <w:trHeight w:val="774" w:hRule="atLeast"/>
        </w:trPr>
        <w:tc>
          <w:tcPr>
            <w:tcW w:w="5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>
                <w:bCs/>
                <w:color w:val="000000"/>
                <w:sz w:val="16"/>
                <w:szCs w:val="16"/>
              </w:rPr>
              <w:t>Прізвище, ім’я та по батькові / Найменування</w:t>
            </w:r>
            <w:r>
              <w:rPr>
                <w:sz w:val="16"/>
                <w:szCs w:val="16"/>
              </w:rPr>
              <w:t xml:space="preserve"> представника акціонера</w:t>
            </w:r>
          </w:p>
          <w:p>
            <w:pPr>
              <w:pStyle w:val="Normal"/>
              <w:rPr/>
            </w:pPr>
            <w:r>
              <w:rPr>
                <w:i/>
                <w:sz w:val="16"/>
                <w:szCs w:val="16"/>
              </w:rPr>
              <w:t>(а також ім’я фізичної особи – представника юридичної особи – представника акціонера (за наявності)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</w:r>
          </w:p>
        </w:tc>
      </w:tr>
      <w:tr>
        <w:trPr>
          <w:trHeight w:val="566" w:hRule="atLeast"/>
        </w:trPr>
        <w:tc>
          <w:tcPr>
            <w:tcW w:w="5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/>
            </w:pPr>
            <w:r>
              <w:rPr>
                <w:sz w:val="16"/>
                <w:szCs w:val="16"/>
              </w:rPr>
              <w:t xml:space="preserve">Назва, серія (за наявності), номер, дата видачі документа, що посвідчує особу представника акціонера або особу представника юридичної особи – представника акціонера </w:t>
            </w:r>
            <w:r>
              <w:rPr>
                <w:i/>
                <w:sz w:val="16"/>
                <w:szCs w:val="16"/>
              </w:rPr>
              <w:t>(для фізичної особи)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jc w:val="both"/>
              <w:rPr>
                <w:b/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</w:tc>
      </w:tr>
      <w:tr>
        <w:trPr>
          <w:trHeight w:val="692" w:hRule="atLeast"/>
        </w:trPr>
        <w:tc>
          <w:tcPr>
            <w:tcW w:w="5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/>
            </w:pPr>
            <w:r>
              <w:rPr>
                <w:sz w:val="16"/>
                <w:szCs w:val="16"/>
              </w:rPr>
              <w:t xml:space="preserve">Реєстраційний номер облікової картки платника податків </w:t>
            </w:r>
            <w:r>
              <w:rPr>
                <w:i/>
                <w:sz w:val="16"/>
                <w:szCs w:val="16"/>
              </w:rPr>
              <w:t>(для представника акціонера – фізичної особи (за наявності) або для фізичної особи – представника юридичної особи – представника акціонера (за наявності))</w:t>
            </w:r>
          </w:p>
          <w:p>
            <w:pPr>
              <w:pStyle w:val="Normal"/>
              <w:rPr/>
            </w:pPr>
            <w:r>
              <w:rPr>
                <w:sz w:val="16"/>
                <w:szCs w:val="16"/>
              </w:rPr>
              <w:t xml:space="preserve">та за наявності ідентифікаційний код юридичної особи (Код за ЄДРПОУ) – представника акціонера  </w:t>
            </w:r>
            <w:r>
              <w:rPr>
                <w:i/>
                <w:sz w:val="16"/>
                <w:szCs w:val="16"/>
              </w:rPr>
              <w:t>(для юридичних осіб зареєстрованих в Україні)</w:t>
            </w:r>
            <w:r>
              <w:rPr>
                <w:sz w:val="16"/>
                <w:szCs w:val="16"/>
              </w:rPr>
              <w:t xml:space="preserve"> або реєстраційний номер з торговельного, судового або банківського реєстру країни реєстрації юридичної особи – акціонера </w:t>
            </w:r>
            <w:r>
              <w:rPr>
                <w:i/>
                <w:sz w:val="16"/>
                <w:szCs w:val="16"/>
              </w:rPr>
              <w:t>(для юридичних осіб зареєстрованих поза територією України)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jc w:val="both"/>
              <w:rPr>
                <w:bCs/>
                <w:sz w:val="16"/>
                <w:szCs w:val="16"/>
                <w:highlight w:val="yellow"/>
              </w:rPr>
            </w:pPr>
            <w:r>
              <w:rPr>
                <w:bCs/>
                <w:sz w:val="16"/>
                <w:szCs w:val="16"/>
                <w:highlight w:val="yellow"/>
              </w:rPr>
            </w:r>
          </w:p>
        </w:tc>
      </w:tr>
      <w:tr>
        <w:trPr>
          <w:trHeight w:val="387" w:hRule="atLeast"/>
        </w:trPr>
        <w:tc>
          <w:tcPr>
            <w:tcW w:w="5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jc w:val="both"/>
              <w:rPr/>
            </w:pPr>
            <w:r>
              <w:rPr>
                <w:sz w:val="16"/>
                <w:szCs w:val="16"/>
              </w:rPr>
              <w:t xml:space="preserve">Документ на підставі якого діє представник акціонера </w:t>
            </w:r>
            <w:r>
              <w:rPr>
                <w:i/>
                <w:sz w:val="16"/>
                <w:szCs w:val="16"/>
              </w:rPr>
              <w:t>(дата видачі, строк дії та номер)</w:t>
            </w:r>
          </w:p>
        </w:tc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jc w:val="both"/>
              <w:rPr>
                <w:bCs/>
                <w:sz w:val="16"/>
                <w:szCs w:val="16"/>
                <w:highlight w:val="yellow"/>
              </w:rPr>
            </w:pPr>
            <w:r>
              <w:rPr>
                <w:bCs/>
                <w:sz w:val="16"/>
                <w:szCs w:val="16"/>
                <w:highlight w:val="yellow"/>
              </w:rPr>
            </w:r>
          </w:p>
        </w:tc>
      </w:tr>
    </w:tbl>
    <w:p>
      <w:pPr>
        <w:pStyle w:val="Normal"/>
        <w:ind w:left="-709" w:hanging="0"/>
        <w:rPr>
          <w:sz w:val="16"/>
          <w:szCs w:val="16"/>
        </w:rPr>
      </w:pPr>
      <w:r>
        <w:rPr>
          <w:sz w:val="16"/>
          <w:szCs w:val="16"/>
        </w:rPr>
      </w:r>
    </w:p>
    <w:tbl>
      <w:tblPr>
        <w:tblW w:w="9867" w:type="dxa"/>
        <w:jc w:val="left"/>
        <w:tblInd w:w="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310"/>
        <w:gridCol w:w="319"/>
        <w:gridCol w:w="314"/>
        <w:gridCol w:w="314"/>
        <w:gridCol w:w="312"/>
        <w:gridCol w:w="313"/>
        <w:gridCol w:w="314"/>
        <w:gridCol w:w="314"/>
        <w:gridCol w:w="312"/>
        <w:gridCol w:w="5"/>
        <w:gridCol w:w="7039"/>
      </w:tblGrid>
      <w:tr>
        <w:trPr>
          <w:trHeight w:val="551" w:hRule="atLeast"/>
        </w:trPr>
        <w:tc>
          <w:tcPr>
            <w:tcW w:w="986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rPr/>
            </w:pPr>
            <w:r>
              <w:rPr>
                <w:b/>
                <w:bCs/>
                <w:color w:val="000000"/>
                <w:sz w:val="16"/>
                <w:szCs w:val="16"/>
              </w:rPr>
              <w:t>Кількість голосів, що належать акціонеру:</w:t>
            </w:r>
          </w:p>
        </w:tc>
      </w:tr>
      <w:tr>
        <w:trPr>
          <w:trHeight w:val="115" w:hRule="atLeast"/>
        </w:trPr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jc w:val="both"/>
              <w:rPr/>
            </w:pPr>
            <w:r>
              <w:rPr/>
            </w:r>
          </w:p>
        </w:tc>
        <w:tc>
          <w:tcPr>
            <w:tcW w:w="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jc w:val="both"/>
              <w:rPr/>
            </w:pPr>
            <w:r>
              <w:rPr/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jc w:val="both"/>
              <w:rPr/>
            </w:pPr>
            <w:r>
              <w:rPr/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jc w:val="both"/>
              <w:rPr/>
            </w:pPr>
            <w:r>
              <w:rPr/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jc w:val="both"/>
              <w:rPr/>
            </w:pPr>
            <w:r>
              <w:rPr/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jc w:val="both"/>
              <w:rPr/>
            </w:pPr>
            <w:r>
              <w:rPr/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jc w:val="both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jc w:val="both"/>
              <w:rPr>
                <w:bCs/>
                <w:sz w:val="16"/>
                <w:szCs w:val="16"/>
                <w:highlight w:val="yellow"/>
              </w:rPr>
            </w:pPr>
            <w:r>
              <w:rPr>
                <w:bCs/>
                <w:sz w:val="16"/>
                <w:szCs w:val="16"/>
                <w:highlight w:val="yellow"/>
              </w:rPr>
            </w:r>
          </w:p>
        </w:tc>
        <w:tc>
          <w:tcPr>
            <w:tcW w:w="70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</w:tr>
      <w:tr>
        <w:trPr>
          <w:trHeight w:val="115" w:hRule="atLeast"/>
        </w:trPr>
        <w:tc>
          <w:tcPr>
            <w:tcW w:w="282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Cs/>
                <w:i/>
                <w:color w:val="000000"/>
                <w:sz w:val="16"/>
                <w:szCs w:val="16"/>
              </w:rPr>
              <w:t>(кількість голосів числом)</w:t>
            </w:r>
          </w:p>
        </w:tc>
        <w:tc>
          <w:tcPr>
            <w:tcW w:w="7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jc w:val="center"/>
              <w:rPr/>
            </w:pPr>
            <w:r>
              <w:rPr>
                <w:bCs/>
                <w:i/>
                <w:color w:val="000000"/>
                <w:sz w:val="16"/>
                <w:szCs w:val="16"/>
              </w:rPr>
              <w:t>(кількість голосів прописом)</w:t>
            </w:r>
          </w:p>
        </w:tc>
      </w:tr>
    </w:tbl>
    <w:p>
      <w:pPr>
        <w:pStyle w:val="Normal"/>
        <w:ind w:left="-709" w:hanging="0"/>
        <w:rPr>
          <w:sz w:val="16"/>
          <w:szCs w:val="16"/>
        </w:rPr>
      </w:pPr>
      <w:r>
        <w:rPr>
          <w:sz w:val="16"/>
          <w:szCs w:val="16"/>
        </w:rPr>
      </w:r>
    </w:p>
    <w:tbl>
      <w:tblPr>
        <w:tblW w:w="9865" w:type="dxa"/>
        <w:jc w:val="left"/>
        <w:tblInd w:w="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9865"/>
      </w:tblGrid>
      <w:tr>
        <w:trPr>
          <w:trHeight w:val="392" w:hRule="atLeast"/>
        </w:trPr>
        <w:tc>
          <w:tcPr>
            <w:tcW w:w="9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9D9D9" w:val="clear"/>
            <w:vAlign w:val="center"/>
          </w:tcPr>
          <w:p>
            <w:pPr>
              <w:pStyle w:val="Normal"/>
              <w:rPr/>
            </w:pPr>
            <w:r>
              <w:rPr>
                <w:b/>
                <w:bCs/>
                <w:iCs/>
                <w:color w:val="000000"/>
                <w:sz w:val="16"/>
                <w:szCs w:val="16"/>
              </w:rPr>
              <w:t>Голосування з питань порядку денного:</w:t>
            </w:r>
          </w:p>
        </w:tc>
      </w:tr>
    </w:tbl>
    <w:p>
      <w:pPr>
        <w:pStyle w:val="Normal"/>
        <w:ind w:left="-709" w:hanging="0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ind w:left="-709" w:hanging="0"/>
        <w:rPr>
          <w:sz w:val="16"/>
          <w:szCs w:val="16"/>
        </w:rPr>
      </w:pPr>
      <w:r>
        <w:rPr>
          <w:sz w:val="16"/>
          <w:szCs w:val="16"/>
        </w:rPr>
      </w:r>
    </w:p>
    <w:tbl>
      <w:tblPr>
        <w:tblW w:w="9947" w:type="dxa"/>
        <w:jc w:val="left"/>
        <w:tblInd w:w="-29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0" w:type="dxa"/>
          <w:left w:w="113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450"/>
        <w:gridCol w:w="2835"/>
        <w:gridCol w:w="5103"/>
        <w:gridCol w:w="824"/>
        <w:gridCol w:w="735"/>
      </w:tblGrid>
      <w:tr>
        <w:trPr>
          <w:trHeight w:val="186" w:hRule="atLeast"/>
        </w:trPr>
        <w:tc>
          <w:tcPr>
            <w:tcW w:w="3285" w:type="dxa"/>
            <w:gridSpan w:val="2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Normal"/>
              <w:ind w:left="28" w:right="28" w:hanging="0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Питання, винесені на голосування</w:t>
            </w:r>
          </w:p>
        </w:tc>
        <w:tc>
          <w:tcPr>
            <w:tcW w:w="5103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Normal"/>
              <w:ind w:left="28" w:right="28" w:hanging="0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Проекти рішень з винесених на голосування питань</w:t>
            </w:r>
          </w:p>
        </w:tc>
        <w:tc>
          <w:tcPr>
            <w:tcW w:w="155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ind w:left="28" w:right="28" w:hanging="0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Варіанти голосування</w:t>
            </w:r>
            <w:r>
              <w:rPr>
                <w:b/>
                <w:sz w:val="16"/>
                <w:szCs w:val="16"/>
                <w:vertAlign w:val="superscript"/>
              </w:rPr>
              <w:t>1</w:t>
            </w:r>
          </w:p>
        </w:tc>
      </w:tr>
      <w:tr>
        <w:trPr>
          <w:trHeight w:val="186" w:hRule="atLeast"/>
        </w:trPr>
        <w:tc>
          <w:tcPr>
            <w:tcW w:w="3285" w:type="dxa"/>
            <w:gridSpan w:val="2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Normal"/>
              <w:snapToGrid w:val="false"/>
              <w:ind w:left="28" w:right="28" w:hanging="0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5103" w:type="dxa"/>
            <w:vMerge w:val="continue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Normal"/>
              <w:snapToGrid w:val="false"/>
              <w:ind w:left="28" w:right="28" w:hanging="0"/>
              <w:rPr>
                <w:rFonts w:ascii="Times New Roman" w:hAnsi="Times New Roman"/>
                <w:b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8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Normal"/>
              <w:ind w:left="28" w:right="28" w:hanging="0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за</w:t>
            </w:r>
          </w:p>
        </w:tc>
        <w:tc>
          <w:tcPr>
            <w:tcW w:w="7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ind w:left="28" w:right="28" w:hanging="0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проти </w:t>
            </w:r>
          </w:p>
        </w:tc>
      </w:tr>
      <w:tr>
        <w:trPr/>
        <w:tc>
          <w:tcPr>
            <w:tcW w:w="4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Normal"/>
              <w:ind w:left="28" w:right="28" w:hang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8647" w:leader="none"/>
              </w:tabs>
              <w:jc w:val="both"/>
              <w:rPr>
                <w:sz w:val="16"/>
                <w:szCs w:val="16"/>
              </w:rPr>
            </w:pPr>
            <w:r>
              <w:rPr>
                <w:rFonts w:cs="Times New Roman"/>
                <w:bCs/>
                <w:sz w:val="16"/>
                <w:szCs w:val="16"/>
              </w:rPr>
              <w:t>Обрання лічильної комісії, голови та секретаря загальних зборів, затвердження порядку денного загальних зборів.</w:t>
            </w: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spacing w:lineRule="auto" w:line="240"/>
              <w:ind w:left="6" w:hanging="0"/>
              <w:jc w:val="both"/>
              <w:rPr>
                <w:sz w:val="16"/>
                <w:szCs w:val="16"/>
              </w:rPr>
            </w:pPr>
            <w:r>
              <w:rPr>
                <w:rFonts w:cs="Times New Roman"/>
                <w:bCs/>
                <w:sz w:val="16"/>
                <w:szCs w:val="16"/>
              </w:rPr>
              <w:t>1.1 Обрати лічильну комісію у складі : голова лічильної комісії — Пурік Віталій Вікторович, член лічильної комісії — Бобрищева Аліна Олександрівна.</w:t>
            </w:r>
          </w:p>
          <w:p>
            <w:pPr>
              <w:pStyle w:val="Normal"/>
              <w:widowControl w:val="false"/>
              <w:spacing w:lineRule="auto" w:line="240"/>
              <w:ind w:left="6" w:hanging="0"/>
              <w:jc w:val="both"/>
              <w:rPr>
                <w:sz w:val="16"/>
                <w:szCs w:val="16"/>
              </w:rPr>
            </w:pPr>
            <w:r>
              <w:rPr>
                <w:rFonts w:cs="Times New Roman"/>
                <w:bCs/>
                <w:sz w:val="16"/>
                <w:szCs w:val="16"/>
              </w:rPr>
              <w:t>1.2 Обрати головою загальних зборів Головка Володимира Анатолійовича, секретарем зборів Пуріка Віталія Вікторовича.</w:t>
            </w:r>
          </w:p>
          <w:p>
            <w:pPr>
              <w:pStyle w:val="Normal"/>
              <w:widowControl w:val="false"/>
              <w:spacing w:lineRule="auto" w:line="240"/>
              <w:ind w:left="6" w:hanging="0"/>
              <w:jc w:val="both"/>
              <w:rPr>
                <w:sz w:val="16"/>
                <w:szCs w:val="16"/>
              </w:rPr>
            </w:pPr>
            <w:r>
              <w:rPr>
                <w:rFonts w:cs="Times New Roman"/>
                <w:bCs/>
                <w:sz w:val="16"/>
                <w:szCs w:val="16"/>
              </w:rPr>
              <w:t>1.3 Затвердити порядок денний (перелік питань, що виносяться на голосування).</w:t>
            </w:r>
          </w:p>
        </w:tc>
        <w:tc>
          <w:tcPr>
            <w:tcW w:w="8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Normal"/>
              <w:snapToGrid w:val="false"/>
              <w:ind w:left="28" w:right="28" w:hanging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snapToGrid w:val="false"/>
              <w:ind w:left="28" w:right="28" w:hanging="0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4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Normal"/>
              <w:ind w:left="28" w:right="28" w:hang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sz w:val="16"/>
                <w:szCs w:val="16"/>
              </w:rPr>
            </w:pPr>
            <w:r>
              <w:rPr>
                <w:rFonts w:cs="Times New Roman"/>
                <w:bCs/>
                <w:sz w:val="16"/>
                <w:szCs w:val="16"/>
              </w:rPr>
              <w:t>Прийняття рішення за наслідками розгляду звіту виконавчого органу, звіту ревізора.</w:t>
            </w: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color="auto" w:fill="FFFFFF" w:val="clear"/>
          </w:tcPr>
          <w:p>
            <w:pPr>
              <w:pStyle w:val="Normal"/>
              <w:widowControl w:val="false"/>
              <w:ind w:left="57" w:hanging="0"/>
              <w:jc w:val="both"/>
              <w:rPr>
                <w:sz w:val="16"/>
                <w:szCs w:val="16"/>
              </w:rPr>
            </w:pPr>
            <w:r>
              <w:rPr>
                <w:rFonts w:cs="Times New Roman"/>
                <w:bCs/>
                <w:sz w:val="16"/>
                <w:szCs w:val="16"/>
              </w:rPr>
              <w:t>2.1 Затвердити звіт директора Товариства про результати фінансово-господарської діяльності Товариства за 2024 рік.</w:t>
            </w:r>
          </w:p>
          <w:p>
            <w:pPr>
              <w:pStyle w:val="Normal"/>
              <w:widowControl w:val="false"/>
              <w:ind w:left="57" w:hanging="0"/>
              <w:jc w:val="both"/>
              <w:rPr>
                <w:sz w:val="16"/>
                <w:szCs w:val="16"/>
              </w:rPr>
            </w:pPr>
            <w:r>
              <w:rPr>
                <w:rFonts w:cs="Times New Roman"/>
                <w:bCs/>
                <w:sz w:val="16"/>
                <w:szCs w:val="16"/>
              </w:rPr>
              <w:t>2.2 Затвердити звіт ревізора за 2024 рік та висновок щодо річної фінансової звітності товариства за 202</w:t>
            </w:r>
            <w:r>
              <w:rPr>
                <w:rFonts w:cs="Times New Roman"/>
                <w:bCs/>
                <w:sz w:val="16"/>
                <w:szCs w:val="16"/>
                <w:lang w:val="ru-UA"/>
              </w:rPr>
              <w:t>4</w:t>
            </w:r>
            <w:r>
              <w:rPr>
                <w:rFonts w:cs="Times New Roman"/>
                <w:bCs/>
                <w:sz w:val="16"/>
                <w:szCs w:val="16"/>
              </w:rPr>
              <w:t xml:space="preserve"> рік.</w:t>
            </w:r>
          </w:p>
        </w:tc>
        <w:tc>
          <w:tcPr>
            <w:tcW w:w="8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175" w:leader="none"/>
              </w:tabs>
              <w:snapToGrid w:val="false"/>
              <w:ind w:left="28" w:right="28" w:hanging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ListParagraph"/>
              <w:tabs>
                <w:tab w:val="clear" w:pos="708"/>
                <w:tab w:val="left" w:pos="175" w:leader="none"/>
              </w:tabs>
              <w:snapToGrid w:val="false"/>
              <w:spacing w:before="10" w:after="0"/>
              <w:ind w:left="28" w:right="28" w:hanging="284"/>
              <w:contextualSpacing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</w:tr>
      <w:tr>
        <w:trPr>
          <w:trHeight w:val="362" w:hRule="atLeast"/>
        </w:trPr>
        <w:tc>
          <w:tcPr>
            <w:tcW w:w="4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Normal"/>
              <w:ind w:left="28" w:right="28" w:hang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sz w:val="16"/>
                <w:szCs w:val="16"/>
              </w:rPr>
            </w:pPr>
            <w:r>
              <w:rPr>
                <w:rFonts w:cs="Times New Roman"/>
                <w:kern w:val="0"/>
                <w:sz w:val="16"/>
                <w:szCs w:val="16"/>
              </w:rPr>
              <w:t>Затвердження результатів фінансово-господарської діяльності за 2024 рік, річного звіту за 2024 рік,  порядку покриття збитків Товариства  за 2024 рік.</w:t>
            </w: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sz w:val="16"/>
                <w:szCs w:val="16"/>
              </w:rPr>
            </w:pPr>
            <w:r>
              <w:rPr>
                <w:rFonts w:cs="Times New Roman"/>
                <w:kern w:val="0"/>
                <w:sz w:val="16"/>
                <w:szCs w:val="16"/>
              </w:rPr>
              <w:t>3.1 Затвердити результати фінансово-господарської діяльності Товариства за 2024 рік.</w:t>
            </w:r>
          </w:p>
          <w:p>
            <w:pPr>
              <w:pStyle w:val="Normal"/>
              <w:widowControl w:val="false"/>
              <w:jc w:val="both"/>
              <w:rPr>
                <w:sz w:val="16"/>
                <w:szCs w:val="16"/>
              </w:rPr>
            </w:pPr>
            <w:r>
              <w:rPr>
                <w:rFonts w:cs="Times New Roman"/>
                <w:kern w:val="0"/>
                <w:sz w:val="16"/>
                <w:szCs w:val="16"/>
              </w:rPr>
              <w:t>3.2 Затвердити річний звіт Товариства за 2024 рік.</w:t>
            </w:r>
          </w:p>
          <w:p>
            <w:pPr>
              <w:pStyle w:val="Normal"/>
              <w:widowControl w:val="false"/>
              <w:jc w:val="both"/>
              <w:rPr/>
            </w:pPr>
            <w:r>
              <w:rPr>
                <w:rFonts w:cs="Times New Roman"/>
                <w:kern w:val="0"/>
                <w:sz w:val="16"/>
                <w:szCs w:val="16"/>
              </w:rPr>
              <w:t xml:space="preserve">3.3 Збитки, отримані за результатами діяльності Товариства в 2024 році у розмірі 100,7 тис. грн. </w:t>
            </w:r>
            <w:r>
              <w:rPr>
                <w:rStyle w:val="Docdata"/>
                <w:rFonts w:cs="Times New Roman"/>
                <w:sz w:val="16"/>
                <w:szCs w:val="16"/>
              </w:rPr>
              <w:t>покрити за рахунок доходів майбутніх років.</w:t>
            </w:r>
          </w:p>
        </w:tc>
        <w:tc>
          <w:tcPr>
            <w:tcW w:w="8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0" w:leader="none"/>
              </w:tabs>
              <w:snapToGrid w:val="false"/>
              <w:ind w:left="28" w:right="28" w:hanging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ListParagraph"/>
              <w:tabs>
                <w:tab w:val="clear" w:pos="708"/>
                <w:tab w:val="left" w:pos="0" w:leader="none"/>
              </w:tabs>
              <w:snapToGrid w:val="false"/>
              <w:spacing w:before="10" w:after="0"/>
              <w:ind w:left="28" w:right="28" w:hanging="284"/>
              <w:contextualSpacing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</w:tr>
      <w:tr>
        <w:trPr>
          <w:trHeight w:val="551" w:hRule="atLeast"/>
        </w:trPr>
        <w:tc>
          <w:tcPr>
            <w:tcW w:w="4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Normal"/>
              <w:ind w:left="28" w:right="28" w:hanging="0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4.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sz w:val="16"/>
                <w:szCs w:val="16"/>
              </w:rPr>
            </w:pPr>
            <w:r>
              <w:rPr>
                <w:rFonts w:cs="Times New Roman"/>
                <w:bCs/>
                <w:sz w:val="16"/>
                <w:szCs w:val="16"/>
              </w:rPr>
              <w:t>Прийняття рішення щодо погашення заборгованості Товариства по договорам надання поворотної фінансової допомоги.</w:t>
            </w: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ind w:left="6" w:hanging="0"/>
              <w:jc w:val="both"/>
              <w:rPr>
                <w:sz w:val="16"/>
                <w:szCs w:val="16"/>
              </w:rPr>
            </w:pPr>
            <w:r>
              <w:rPr>
                <w:rFonts w:cs="Times New Roman"/>
                <w:bCs/>
                <w:sz w:val="16"/>
                <w:szCs w:val="16"/>
              </w:rPr>
              <w:t>Повернути грошові кошти, надані Товариству у вигляді поворотної фінансової допомоги відповідно до договорів надання поворотної фінансової допомоги, позикодавцям в повному об’ємі шляхом перерахування грошових коштів з балансу Товариства на рахунки вказаних в договорах позикодавців в установі банку, а в разі відсутності коштів — реалізувати майно Товариства з метою погашення цієї заборгованості.</w:t>
            </w:r>
          </w:p>
        </w:tc>
        <w:tc>
          <w:tcPr>
            <w:tcW w:w="8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Normal"/>
              <w:snapToGrid w:val="false"/>
              <w:ind w:left="28" w:right="28" w:hanging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snapToGrid w:val="false"/>
              <w:ind w:left="28" w:right="28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4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Normal"/>
              <w:ind w:left="28" w:right="28" w:hanging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sz w:val="16"/>
                <w:szCs w:val="16"/>
              </w:rPr>
            </w:pPr>
            <w:r>
              <w:rPr>
                <w:rFonts w:cs="Times New Roman"/>
                <w:bCs/>
                <w:sz w:val="16"/>
                <w:szCs w:val="16"/>
              </w:rPr>
              <w:t>Прийняття рішення про попереднє надання згоди на вчинення Товариством значних правочинів.</w:t>
            </w: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ind w:left="57" w:hanging="0"/>
              <w:jc w:val="both"/>
              <w:rPr>
                <w:sz w:val="16"/>
                <w:szCs w:val="16"/>
              </w:rPr>
            </w:pPr>
            <w:r>
              <w:rPr>
                <w:rFonts w:cs="Times New Roman"/>
                <w:bCs/>
                <w:sz w:val="16"/>
                <w:szCs w:val="16"/>
              </w:rPr>
              <w:t>5.1 Надати згоду (попередньо) на вчинення значних правочинів, необхiднiсть укладання яких може виникнути в ходi господарської дiяльностi Товариства протягом не більш як одного року з дати прийняття цього рішення, пов'язанi з отриманням та поверненням кредитiв, поворотної фінансової допомоги, порукою, страхуванням, перевідступленням боргу, вiдчуженням (реалiзацiя, продаж, мiна, передача в заставу, передача в статутний капітал інших юридичних осіб), орендою майна Товариства (рухомого, нерухомого, майнових прав, iнше), вартiсть яких перевищує 10 відсотків вартості активів Товариства за даними річної фінансової звітності товариства за 2024 рік: 1255,09 тис.грн., граничною сукупною вартістю 100 млн. грн., в тому числі, але не виключно: виступити позичальником та/або поручителем та/або майновим поручителем/ заставодавцем перед банками за зобов'язаннями Товариства за генеральними угодами та кредитними договорами.</w:t>
            </w:r>
          </w:p>
          <w:p>
            <w:pPr>
              <w:pStyle w:val="Normal"/>
              <w:widowControl w:val="false"/>
              <w:ind w:left="57" w:hanging="0"/>
              <w:jc w:val="both"/>
              <w:rPr>
                <w:sz w:val="16"/>
                <w:szCs w:val="16"/>
              </w:rPr>
            </w:pPr>
            <w:r>
              <w:rPr>
                <w:rFonts w:cs="Times New Roman"/>
                <w:bCs/>
                <w:sz w:val="16"/>
                <w:szCs w:val="16"/>
              </w:rPr>
              <w:t xml:space="preserve">5.2 </w:t>
            </w:r>
            <w:r>
              <w:rPr>
                <w:rFonts w:cs="Times New Roman"/>
                <w:bCs/>
                <w:color w:val="000000"/>
                <w:sz w:val="16"/>
                <w:szCs w:val="16"/>
              </w:rPr>
              <w:t xml:space="preserve">Надати генеральному директору Товариства Головко В. А. згоду та повноваження на ведення переговорів, остаточне визначення умов, обрання на власний розсуд покупця (покупців), оцінювача майна Товариства, на укладення і підписання договору грошової оцінки активів (матеріальних цінностей) Товариства з оцінювачем майна, на </w:t>
            </w:r>
            <w:r>
              <w:rPr>
                <w:rFonts w:cs="Times New Roman"/>
                <w:bCs/>
                <w:sz w:val="16"/>
                <w:szCs w:val="16"/>
              </w:rPr>
              <w:t>укладання та підписання договорів, угод, додаткових договорiв/ угод до них та iнших необхiдних документiв, пов’язаних з виконанням п.5.1, в тому числі, уповноважити генерального директора на вчинення  дій, необхідніх для юридичного (нотаріального) оформлення договорів від імені Товариства, згода на укладення яких надана загальними зборами акціонерів Товариства  у п.5.1.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75" w:leader="none"/>
                <w:tab w:val="left" w:pos="317" w:leader="none"/>
              </w:tabs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</w:pPr>
            <w:r>
              <w:rPr>
                <w:rFonts w:cs="Times New Roman"/>
                <w:bCs/>
                <w:iCs/>
                <w:sz w:val="16"/>
                <w:szCs w:val="16"/>
              </w:rPr>
            </w:r>
          </w:p>
        </w:tc>
        <w:tc>
          <w:tcPr>
            <w:tcW w:w="8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175" w:leader="none"/>
                <w:tab w:val="left" w:pos="317" w:leader="none"/>
              </w:tabs>
              <w:snapToGrid w:val="false"/>
              <w:ind w:left="28" w:right="28" w:hanging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ListParagraph"/>
              <w:tabs>
                <w:tab w:val="clear" w:pos="708"/>
                <w:tab w:val="left" w:pos="175" w:leader="none"/>
                <w:tab w:val="left" w:pos="317" w:leader="none"/>
              </w:tabs>
              <w:snapToGrid w:val="false"/>
              <w:spacing w:before="10" w:after="0"/>
              <w:ind w:left="28" w:right="28" w:hanging="284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</w:tr>
      <w:tr>
        <w:trPr/>
        <w:tc>
          <w:tcPr>
            <w:tcW w:w="45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Normal"/>
              <w:ind w:left="28" w:right="28" w:hanging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  <w:t>6.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rPr>
                <w:sz w:val="16"/>
                <w:szCs w:val="16"/>
              </w:rPr>
            </w:pPr>
            <w:r>
              <w:rPr>
                <w:rFonts w:cs="Times New Roman"/>
                <w:kern w:val="0"/>
                <w:sz w:val="16"/>
                <w:szCs w:val="16"/>
              </w:rPr>
              <w:t>Обрання генерального директора Товариства та уповноваженої особи на підписання контракту з обраним генеральним директором.</w:t>
            </w:r>
          </w:p>
          <w:p>
            <w:pPr>
              <w:pStyle w:val="Normal"/>
              <w:widowControl w:val="false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cs="Times New Roman"/>
                <w:bCs/>
                <w:sz w:val="16"/>
                <w:szCs w:val="16"/>
              </w:rPr>
            </w:r>
          </w:p>
        </w:tc>
        <w:tc>
          <w:tcPr>
            <w:tcW w:w="510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sz w:val="16"/>
                <w:szCs w:val="16"/>
              </w:rPr>
            </w:pPr>
            <w:r>
              <w:rPr>
                <w:rFonts w:cs="Times New Roman"/>
                <w:kern w:val="0"/>
                <w:sz w:val="16"/>
                <w:szCs w:val="16"/>
              </w:rPr>
              <w:t xml:space="preserve">6.1 Обрати Головка Володимира Анатолійовича генеральним директором Приватного акцонерного товариства </w:t>
            </w:r>
            <w:r>
              <w:rPr>
                <w:rFonts w:cs="Times New Roman"/>
                <w:kern w:val="0"/>
                <w:sz w:val="16"/>
                <w:szCs w:val="16"/>
                <w:lang w:val="ru-RU"/>
              </w:rPr>
              <w:t>“</w:t>
            </w:r>
            <w:r>
              <w:rPr>
                <w:rFonts w:cs="Times New Roman"/>
                <w:kern w:val="0"/>
                <w:sz w:val="16"/>
                <w:szCs w:val="16"/>
              </w:rPr>
              <w:t>Полімпекс</w:t>
            </w:r>
            <w:r>
              <w:rPr>
                <w:rFonts w:cs="Times New Roman"/>
                <w:kern w:val="0"/>
                <w:sz w:val="16"/>
                <w:szCs w:val="16"/>
                <w:lang w:val="ru-RU"/>
              </w:rPr>
              <w:t>”</w:t>
            </w:r>
            <w:r>
              <w:rPr>
                <w:rFonts w:cs="Times New Roman"/>
                <w:kern w:val="0"/>
                <w:sz w:val="16"/>
                <w:szCs w:val="16"/>
              </w:rPr>
              <w:t xml:space="preserve"> на новий строк 5 (п’ять) років з 21 квітня 2025 року.</w:t>
            </w:r>
          </w:p>
          <w:p>
            <w:pPr>
              <w:pStyle w:val="Normal"/>
              <w:widowControl w:val="false"/>
              <w:jc w:val="both"/>
              <w:rPr>
                <w:sz w:val="16"/>
                <w:szCs w:val="16"/>
              </w:rPr>
            </w:pPr>
            <w:r>
              <w:rPr>
                <w:rFonts w:cs="Times New Roman"/>
                <w:kern w:val="0"/>
                <w:sz w:val="16"/>
                <w:szCs w:val="16"/>
              </w:rPr>
              <w:t>6.2 Уповноважити  Пуріка Віталія Вікторовича - заступника генерального директора, підписати контракт з генеральним директором Головком Володимиром Анатолійовичем від імені Товариства.</w:t>
            </w:r>
          </w:p>
          <w:p>
            <w:pPr>
              <w:pStyle w:val="Normal"/>
              <w:widowControl w:val="false"/>
              <w:ind w:left="57" w:hanging="0"/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cs="Times New Roman"/>
                <w:bCs/>
                <w:sz w:val="16"/>
                <w:szCs w:val="16"/>
              </w:rPr>
            </w:r>
          </w:p>
        </w:tc>
        <w:tc>
          <w:tcPr>
            <w:tcW w:w="8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</w:tcBorders>
            <w:shd w:fill="auto" w:val="clear"/>
          </w:tcPr>
          <w:p>
            <w:pPr>
              <w:pStyle w:val="Normal"/>
              <w:tabs>
                <w:tab w:val="clear" w:pos="708"/>
                <w:tab w:val="left" w:pos="175" w:leader="none"/>
                <w:tab w:val="left" w:pos="317" w:leader="none"/>
              </w:tabs>
              <w:snapToGrid w:val="false"/>
              <w:ind w:left="28" w:right="28" w:hanging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ListParagraph"/>
              <w:tabs>
                <w:tab w:val="clear" w:pos="708"/>
                <w:tab w:val="left" w:pos="175" w:leader="none"/>
                <w:tab w:val="left" w:pos="317" w:leader="none"/>
              </w:tabs>
              <w:snapToGrid w:val="false"/>
              <w:spacing w:before="10" w:after="0"/>
              <w:ind w:left="28" w:right="28" w:hanging="284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</w:tr>
    </w:tbl>
    <w:p>
      <w:pPr>
        <w:pStyle w:val="Normal"/>
        <w:jc w:val="both"/>
        <w:rPr/>
      </w:pPr>
      <w:r>
        <w:rPr/>
      </w:r>
    </w:p>
    <w:p>
      <w:pPr>
        <w:pStyle w:val="Normal"/>
        <w:jc w:val="both"/>
        <w:rPr/>
      </w:pPr>
      <w:r>
        <w:rPr>
          <w:b/>
          <w:sz w:val="16"/>
          <w:szCs w:val="16"/>
          <w:vertAlign w:val="superscript"/>
        </w:rPr>
        <w:t>1</w:t>
      </w:r>
      <w:r>
        <w:rPr>
          <w:b/>
          <w:sz w:val="16"/>
          <w:szCs w:val="16"/>
        </w:rPr>
        <w:t>Поставте відмітку типу (+), (Х), або (V) навпроти обраного варіанту голосування з кожного питання порядку денного.</w:t>
      </w:r>
    </w:p>
    <w:sectPr>
      <w:headerReference w:type="default" r:id="rId2"/>
      <w:footerReference w:type="default" r:id="rId3"/>
      <w:type w:val="nextPage"/>
      <w:pgSz w:w="11906" w:h="16838"/>
      <w:pgMar w:left="1417" w:right="566" w:header="421" w:top="1898" w:footer="708" w:bottom="2465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6"/>
      <w:rPr>
        <w:sz w:val="16"/>
        <w:szCs w:val="16"/>
      </w:rPr>
    </w:pPr>
    <w:r>
      <w:rPr>
        <w:sz w:val="16"/>
        <w:szCs w:val="16"/>
      </w:rPr>
    </w:r>
  </w:p>
  <w:p>
    <w:pPr>
      <w:pStyle w:val="Style26"/>
      <w:rPr>
        <w:sz w:val="16"/>
        <w:szCs w:val="16"/>
      </w:rPr>
    </w:pPr>
    <w:r>
      <w:rPr>
        <w:sz w:val="16"/>
        <w:szCs w:val="16"/>
      </w:rPr>
    </w:r>
  </w:p>
  <w:p>
    <w:pPr>
      <w:pStyle w:val="Style26"/>
      <w:rPr>
        <w:sz w:val="12"/>
        <w:szCs w:val="12"/>
      </w:rPr>
    </w:pPr>
    <w:r>
      <w:rPr>
        <w:sz w:val="12"/>
        <w:szCs w:val="12"/>
      </w:rPr>
    </w:r>
  </w:p>
  <w:tbl>
    <w:tblPr>
      <w:tblW w:w="9865" w:type="dxa"/>
      <w:jc w:val="left"/>
      <w:tblInd w:w="108" w:type="dxa"/>
      <w:tblBorders/>
      <w:tblCellMar>
        <w:top w:w="0" w:type="dxa"/>
        <w:left w:w="108" w:type="dxa"/>
        <w:bottom w:w="0" w:type="dxa"/>
        <w:right w:w="108" w:type="dxa"/>
      </w:tblCellMar>
      <w:tblLook w:firstRow="0" w:noVBand="0" w:lastRow="0" w:firstColumn="0" w:lastColumn="0" w:noHBand="0" w:val="0000"/>
    </w:tblPr>
    <w:tblGrid>
      <w:gridCol w:w="2001"/>
      <w:gridCol w:w="3101"/>
      <w:gridCol w:w="285"/>
      <w:gridCol w:w="4477"/>
    </w:tblGrid>
    <w:tr>
      <w:trPr>
        <w:trHeight w:val="1547" w:hRule="atLeast"/>
      </w:trPr>
      <w:tc>
        <w:tcPr>
          <w:tcW w:w="9864" w:type="dxa"/>
          <w:gridSpan w:val="4"/>
          <w:tcBorders/>
          <w:shd w:fill="auto" w:val="clear"/>
        </w:tcPr>
        <w:p>
          <w:pPr>
            <w:pStyle w:val="Normal"/>
            <w:widowControl w:val="false"/>
            <w:ind w:firstLine="743"/>
            <w:jc w:val="both"/>
            <w:rPr/>
          </w:pPr>
          <w:r>
            <w:rPr>
              <w:b/>
              <w:bCs/>
              <w:i/>
              <w:color w:val="000000"/>
              <w:sz w:val="18"/>
              <w:szCs w:val="18"/>
            </w:rPr>
            <w:t xml:space="preserve">Увага! </w:t>
          </w:r>
        </w:p>
        <w:p>
          <w:pPr>
            <w:pStyle w:val="Normal"/>
            <w:widowControl w:val="false"/>
            <w:ind w:firstLine="743"/>
            <w:jc w:val="both"/>
            <w:rPr/>
          </w:pPr>
          <w:r>
            <w:rPr>
              <w:bCs/>
              <w:i/>
              <w:color w:val="000000"/>
              <w:sz w:val="18"/>
              <w:szCs w:val="18"/>
            </w:rPr>
            <w:t>Бюлетень підписується акціонером (представником акціонера) та має містити реквізити акціонера (представника акціонера) та найменування юридичної особи у разі, якщо вона є акціонером. Підпис проставляється на кожному аркуші бюлетеня, крім випадку засвідчення бюлетеня кваліфікованим електронним підписом акціонера (його представника).</w:t>
          </w:r>
        </w:p>
        <w:p>
          <w:pPr>
            <w:pStyle w:val="Normal"/>
            <w:widowControl w:val="false"/>
            <w:ind w:firstLine="743"/>
            <w:jc w:val="both"/>
            <w:rPr/>
          </w:pPr>
          <w:r>
            <w:rPr>
              <w:bCs/>
              <w:i/>
              <w:color w:val="000000"/>
              <w:sz w:val="18"/>
              <w:szCs w:val="18"/>
            </w:rPr>
            <w:t>За відсутності таких реквізитів і підпису (-ів) бюлетень вважається недійсним і не враховується під час підрахунку голосів.</w:t>
          </w:r>
        </w:p>
        <w:p>
          <w:pPr>
            <w:pStyle w:val="Normal"/>
            <w:widowControl w:val="false"/>
            <w:ind w:firstLine="743"/>
            <w:jc w:val="both"/>
            <w:rPr/>
          </w:pPr>
          <w:r>
            <w:rPr>
              <w:bCs/>
              <w:i/>
              <w:color w:val="000000"/>
              <w:sz w:val="18"/>
              <w:szCs w:val="18"/>
            </w:rPr>
            <w:t xml:space="preserve">Бюлетень може бути заповнений машинодруком. </w:t>
          </w:r>
        </w:p>
      </w:tc>
    </w:tr>
    <w:tr>
      <w:trPr>
        <w:trHeight w:val="47" w:hRule="atLeast"/>
      </w:trPr>
      <w:tc>
        <w:tcPr>
          <w:tcW w:w="9864" w:type="dxa"/>
          <w:gridSpan w:val="4"/>
          <w:tcBorders/>
          <w:shd w:fill="auto" w:val="clear"/>
        </w:tcPr>
        <w:p>
          <w:pPr>
            <w:pStyle w:val="Style26"/>
            <w:tabs>
              <w:tab w:val="center" w:pos="4677" w:leader="none"/>
              <w:tab w:val="left" w:pos="6730" w:leader="none"/>
              <w:tab w:val="right" w:pos="9355" w:leader="none"/>
            </w:tabs>
            <w:snapToGrid w:val="false"/>
            <w:rPr>
              <w:sz w:val="18"/>
              <w:szCs w:val="18"/>
            </w:rPr>
          </w:pPr>
          <w:r>
            <w:rPr>
              <w:sz w:val="18"/>
              <w:szCs w:val="18"/>
            </w:rPr>
          </w:r>
        </w:p>
      </w:tc>
    </w:tr>
    <w:tr>
      <w:trPr/>
      <w:tc>
        <w:tcPr>
          <w:tcW w:w="2001" w:type="dxa"/>
          <w:vMerge w:val="restart"/>
          <w:tcBorders/>
          <w:shd w:fill="auto" w:val="clear"/>
          <w:vAlign w:val="center"/>
        </w:tcPr>
        <w:p>
          <w:pPr>
            <w:pStyle w:val="Style26"/>
            <w:jc w:val="center"/>
            <w:rPr/>
          </w:pPr>
          <w:r>
            <w:rPr>
              <w:sz w:val="18"/>
              <w:szCs w:val="18"/>
            </w:rPr>
            <w:t xml:space="preserve">ст. </w:t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> PAGE </w:instrText>
          </w:r>
          <w:r>
            <w:rPr>
              <w:sz w:val="18"/>
              <w:szCs w:val="18"/>
            </w:rPr>
            <w:fldChar w:fldCharType="separate"/>
          </w:r>
          <w:r>
            <w:rPr>
              <w:sz w:val="18"/>
              <w:szCs w:val="18"/>
            </w:rPr>
            <w:t>1</w:t>
          </w:r>
          <w:r>
            <w:rPr>
              <w:sz w:val="18"/>
              <w:szCs w:val="18"/>
            </w:rPr>
            <w:fldChar w:fldCharType="end"/>
          </w:r>
        </w:p>
      </w:tc>
      <w:tc>
        <w:tcPr>
          <w:tcW w:w="3101" w:type="dxa"/>
          <w:tcBorders/>
          <w:shd w:fill="auto" w:val="clear"/>
          <w:tcMar>
            <w:top w:w="55" w:type="dxa"/>
            <w:bottom w:w="55" w:type="dxa"/>
          </w:tcMar>
        </w:tcPr>
        <w:p>
          <w:pPr>
            <w:pStyle w:val="Style26"/>
            <w:snapToGrid w:val="false"/>
            <w:jc w:val="right"/>
            <w:rPr>
              <w:sz w:val="18"/>
              <w:szCs w:val="18"/>
            </w:rPr>
          </w:pPr>
          <w:r>
            <w:rPr>
              <w:sz w:val="18"/>
              <w:szCs w:val="18"/>
            </w:rPr>
          </w:r>
        </w:p>
      </w:tc>
      <w:tc>
        <w:tcPr>
          <w:tcW w:w="285" w:type="dxa"/>
          <w:tcBorders/>
          <w:shd w:fill="auto" w:val="clear"/>
        </w:tcPr>
        <w:p>
          <w:pPr>
            <w:pStyle w:val="Style26"/>
            <w:snapToGrid w:val="false"/>
            <w:jc w:val="right"/>
            <w:rPr>
              <w:sz w:val="18"/>
              <w:szCs w:val="18"/>
            </w:rPr>
          </w:pPr>
          <w:r>
            <w:rPr>
              <w:sz w:val="18"/>
              <w:szCs w:val="18"/>
            </w:rPr>
          </w:r>
        </w:p>
      </w:tc>
      <w:tc>
        <w:tcPr>
          <w:tcW w:w="4477" w:type="dxa"/>
          <w:tcBorders/>
          <w:shd w:fill="auto" w:val="clear"/>
          <w:tcMar>
            <w:top w:w="55" w:type="dxa"/>
            <w:bottom w:w="55" w:type="dxa"/>
          </w:tcMar>
        </w:tcPr>
        <w:p>
          <w:pPr>
            <w:pStyle w:val="Style26"/>
            <w:tabs>
              <w:tab w:val="center" w:pos="1004" w:leader="none"/>
              <w:tab w:val="center" w:pos="4677" w:leader="none"/>
              <w:tab w:val="right" w:pos="9355" w:leader="none"/>
            </w:tabs>
            <w:rPr/>
          </w:pPr>
          <w:r>
            <w:rPr>
              <w:sz w:val="18"/>
              <w:szCs w:val="18"/>
            </w:rPr>
            <w:t>/</w:t>
            <w:tab/>
            <w:t>/</w:t>
          </w:r>
        </w:p>
      </w:tc>
    </w:tr>
    <w:tr>
      <w:trPr/>
      <w:tc>
        <w:tcPr>
          <w:tcW w:w="2001" w:type="dxa"/>
          <w:vMerge w:val="continue"/>
          <w:tcBorders>
            <w:top w:val="single" w:sz="4" w:space="0" w:color="000000"/>
          </w:tcBorders>
          <w:shd w:fill="auto" w:val="clear"/>
        </w:tcPr>
        <w:p>
          <w:pPr>
            <w:pStyle w:val="Style26"/>
            <w:snapToGrid w:val="false"/>
            <w:rPr>
              <w:sz w:val="18"/>
              <w:szCs w:val="18"/>
            </w:rPr>
          </w:pPr>
          <w:r>
            <w:rPr>
              <w:sz w:val="18"/>
              <w:szCs w:val="18"/>
            </w:rPr>
          </w:r>
        </w:p>
      </w:tc>
      <w:tc>
        <w:tcPr>
          <w:tcW w:w="3101" w:type="dxa"/>
          <w:tcBorders>
            <w:top w:val="single" w:sz="4" w:space="0" w:color="000000"/>
          </w:tcBorders>
          <w:shd w:fill="auto" w:val="clear"/>
        </w:tcPr>
        <w:p>
          <w:pPr>
            <w:pStyle w:val="Style26"/>
            <w:jc w:val="center"/>
            <w:rPr/>
          </w:pPr>
          <w:r>
            <w:rPr>
              <w:b/>
              <w:bCs/>
              <w:i/>
              <w:color w:val="000000"/>
              <w:sz w:val="18"/>
              <w:szCs w:val="18"/>
            </w:rPr>
            <w:t>Підпис акціонера</w:t>
          </w:r>
        </w:p>
        <w:p>
          <w:pPr>
            <w:pStyle w:val="Style26"/>
            <w:jc w:val="center"/>
            <w:rPr/>
          </w:pPr>
          <w:r>
            <w:rPr>
              <w:b/>
              <w:bCs/>
              <w:i/>
              <w:color w:val="000000"/>
              <w:sz w:val="18"/>
              <w:szCs w:val="18"/>
            </w:rPr>
            <w:t>(представника акціонера)</w:t>
          </w:r>
        </w:p>
      </w:tc>
      <w:tc>
        <w:tcPr>
          <w:tcW w:w="285" w:type="dxa"/>
          <w:tcBorders/>
          <w:shd w:fill="auto" w:val="clear"/>
        </w:tcPr>
        <w:p>
          <w:pPr>
            <w:pStyle w:val="Style26"/>
            <w:snapToGrid w:val="false"/>
            <w:jc w:val="right"/>
            <w:rPr>
              <w:sz w:val="18"/>
              <w:szCs w:val="18"/>
            </w:rPr>
          </w:pPr>
          <w:r>
            <w:rPr>
              <w:sz w:val="18"/>
              <w:szCs w:val="18"/>
            </w:rPr>
          </w:r>
        </w:p>
      </w:tc>
      <w:tc>
        <w:tcPr>
          <w:tcW w:w="4477" w:type="dxa"/>
          <w:tcBorders>
            <w:top w:val="single" w:sz="4" w:space="0" w:color="000000"/>
          </w:tcBorders>
          <w:shd w:fill="auto" w:val="clear"/>
        </w:tcPr>
        <w:p>
          <w:pPr>
            <w:pStyle w:val="Style26"/>
            <w:jc w:val="center"/>
            <w:rPr/>
          </w:pPr>
          <w:r>
            <w:rPr>
              <w:b/>
              <w:bCs/>
              <w:i/>
              <w:color w:val="000000"/>
              <w:sz w:val="18"/>
              <w:szCs w:val="18"/>
            </w:rPr>
            <w:t>Прізвище, ім’я та по батькові</w:t>
          </w:r>
          <w:r>
            <w:rPr>
              <w:b/>
              <w:i/>
              <w:sz w:val="18"/>
              <w:szCs w:val="18"/>
            </w:rPr>
            <w:t xml:space="preserve"> акціонера</w:t>
          </w:r>
        </w:p>
        <w:p>
          <w:pPr>
            <w:pStyle w:val="Style26"/>
            <w:jc w:val="center"/>
            <w:rPr/>
          </w:pPr>
          <w:r>
            <w:rPr>
              <w:b/>
              <w:i/>
              <w:sz w:val="18"/>
              <w:szCs w:val="18"/>
            </w:rPr>
            <w:t>(представника акціонера)</w:t>
          </w:r>
        </w:p>
      </w:tc>
    </w:tr>
  </w:tbl>
  <w:p>
    <w:pPr>
      <w:pStyle w:val="Normal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5"/>
      <w:rPr>
        <w:lang w:val="ru-RU"/>
      </w:rPr>
    </w:pPr>
    <w:r>
      <w:rPr>
        <w:lang w:val="ru-RU"/>
      </w:rPr>
    </w:r>
  </w:p>
  <w:p>
    <w:pPr>
      <w:pStyle w:val="Normal"/>
      <w:rPr>
        <w:lang w:val="ru-RU"/>
      </w:rPr>
    </w:pPr>
    <w:r>
      <w:rPr>
        <w:lang w:val="ru-RU"/>
      </w:rPr>
    </w:r>
  </w:p>
  <w:tbl>
    <w:tblPr>
      <w:tblW w:w="10280" w:type="dxa"/>
      <w:jc w:val="left"/>
      <w:tblInd w:w="-601" w:type="dxa"/>
      <w:tblBorders/>
      <w:tblCellMar>
        <w:top w:w="0" w:type="dxa"/>
        <w:left w:w="108" w:type="dxa"/>
        <w:bottom w:w="0" w:type="dxa"/>
        <w:right w:w="108" w:type="dxa"/>
      </w:tblCellMar>
      <w:tblLook w:firstRow="0" w:noVBand="0" w:lastRow="0" w:firstColumn="0" w:lastColumn="0" w:noHBand="0" w:val="0000"/>
    </w:tblPr>
    <w:tblGrid>
      <w:gridCol w:w="5140"/>
      <w:gridCol w:w="5139"/>
    </w:tblGrid>
    <w:tr>
      <w:trPr/>
      <w:tc>
        <w:tcPr>
          <w:tcW w:w="5140" w:type="dxa"/>
          <w:tcBorders/>
          <w:shd w:fill="auto" w:val="clear"/>
        </w:tcPr>
        <w:p>
          <w:pPr>
            <w:pStyle w:val="Normal"/>
            <w:snapToGrid w:val="false"/>
            <w:rPr>
              <w:sz w:val="12"/>
              <w:szCs w:val="12"/>
            </w:rPr>
          </w:pPr>
          <w:r>
            <w:rPr>
              <w:sz w:val="12"/>
              <w:szCs w:val="12"/>
            </w:rPr>
          </w:r>
        </w:p>
      </w:tc>
      <w:tc>
        <w:tcPr>
          <w:tcW w:w="5139" w:type="dxa"/>
          <w:tcBorders/>
          <w:shd w:fill="auto" w:val="clear"/>
        </w:tcPr>
        <w:p>
          <w:pPr>
            <w:pStyle w:val="Normal"/>
            <w:jc w:val="right"/>
            <w:rPr/>
          </w:pPr>
          <w:r>
            <w:rPr>
              <w:rFonts w:cs="Calibri"/>
              <w:b/>
              <w:sz w:val="16"/>
              <w:szCs w:val="16"/>
            </w:rPr>
            <w:t>Додаток №2</w:t>
          </w:r>
        </w:p>
        <w:p>
          <w:pPr>
            <w:pStyle w:val="Normal"/>
            <w:jc w:val="right"/>
            <w:rPr/>
          </w:pPr>
          <w:r>
            <w:rPr>
              <w:rFonts w:cs="Calibri"/>
              <w:b/>
              <w:sz w:val="16"/>
              <w:szCs w:val="16"/>
            </w:rPr>
            <w:t>до наказу генерального директора</w:t>
          </w:r>
        </w:p>
        <w:p>
          <w:pPr>
            <w:pStyle w:val="Normal"/>
            <w:jc w:val="right"/>
            <w:rPr/>
          </w:pPr>
          <w:r>
            <w:rPr>
              <w:rFonts w:cs="Calibri"/>
              <w:b/>
              <w:sz w:val="16"/>
              <w:szCs w:val="16"/>
            </w:rPr>
            <w:t xml:space="preserve">ПРАТ”ПОЛІМПЕКС” від </w:t>
          </w:r>
          <w:r>
            <w:rPr>
              <w:rFonts w:cs="Calibri"/>
              <w:b/>
              <w:sz w:val="16"/>
              <w:szCs w:val="16"/>
              <w:lang w:val="uk-UA"/>
            </w:rPr>
            <w:t>28.02.2025</w:t>
          </w:r>
          <w:r>
            <w:rPr>
              <w:rFonts w:cs="Calibri"/>
              <w:b/>
              <w:sz w:val="16"/>
              <w:szCs w:val="16"/>
            </w:rPr>
            <w:t xml:space="preserve"> №3</w:t>
          </w:r>
        </w:p>
        <w:p>
          <w:pPr>
            <w:pStyle w:val="Normal"/>
            <w:jc w:val="right"/>
            <w:rPr>
              <w:b/>
              <w:b/>
              <w:sz w:val="12"/>
              <w:szCs w:val="12"/>
            </w:rPr>
          </w:pPr>
          <w:r>
            <w:rPr>
              <w:b/>
              <w:sz w:val="12"/>
              <w:szCs w:val="12"/>
            </w:rPr>
          </w:r>
        </w:p>
        <w:p>
          <w:pPr>
            <w:pStyle w:val="Normal"/>
            <w:jc w:val="right"/>
            <w:rPr>
              <w:sz w:val="12"/>
              <w:szCs w:val="12"/>
            </w:rPr>
          </w:pPr>
          <w:r>
            <w:rPr>
              <w:sz w:val="12"/>
              <w:szCs w:val="12"/>
            </w:rPr>
          </w:r>
        </w:p>
      </w:tc>
    </w:tr>
  </w:tbl>
  <w:p>
    <w:pPr>
      <w:pStyle w:val="Normal"/>
      <w:rPr/>
    </w:pPr>
    <w:r>
      <w:rPr/>
    </w:r>
  </w:p>
</w:hdr>
</file>

<file path=word/settings.xml><?xml version="1.0" encoding="utf-8"?>
<w:settings xmlns:w="http://schemas.openxmlformats.org/wordprocessingml/2006/main">
  <w:zoom w:percent="130"/>
  <w:displayBackgroundShape/>
  <w:embedSystemFonts/>
  <w:defaultTabStop w:val="708"/>
  <w:autoHyphenation w:val="fals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jc w:val="left"/>
    </w:pPr>
    <w:rPr>
      <w:rFonts w:ascii="Times New Roman" w:hAnsi="Times New Roman" w:eastAsia="Times New Roman" w:cs="Times New Roman"/>
      <w:color w:val="auto"/>
      <w:kern w:val="2"/>
      <w:sz w:val="24"/>
      <w:szCs w:val="24"/>
      <w:lang w:val="uk-UA" w:eastAsia="zh-CN" w:bidi="ar-SA"/>
    </w:rPr>
  </w:style>
  <w:style w:type="character" w:styleId="DefaultParagraphFont" w:customStyle="1">
    <w:name w:val="Default Paragraph Font"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>
      <w:color w:val="000000"/>
    </w:rPr>
  </w:style>
  <w:style w:type="character" w:styleId="1" w:customStyle="1">
    <w:name w:val="Основной шрифт абзаца1"/>
    <w:qFormat/>
    <w:rPr/>
  </w:style>
  <w:style w:type="character" w:styleId="Style14" w:customStyle="1">
    <w:name w:val="Верхний колонтитул Знак"/>
    <w:basedOn w:val="DefaultParagraphFont"/>
    <w:qFormat/>
    <w:rPr>
      <w:rFonts w:ascii="Times New Roman" w:hAnsi="Times New Roman" w:eastAsia="Times New Roman" w:cs="Times New Roman"/>
      <w:sz w:val="24"/>
      <w:szCs w:val="24"/>
    </w:rPr>
  </w:style>
  <w:style w:type="character" w:styleId="Style15" w:customStyle="1">
    <w:name w:val="Нижний колонтитул Знак"/>
    <w:basedOn w:val="DefaultParagraphFont"/>
    <w:qFormat/>
    <w:rPr>
      <w:rFonts w:ascii="Times New Roman" w:hAnsi="Times New Roman" w:eastAsia="Times New Roman" w:cs="Times New Roman"/>
      <w:sz w:val="24"/>
      <w:szCs w:val="24"/>
    </w:rPr>
  </w:style>
  <w:style w:type="character" w:styleId="Style16" w:customStyle="1">
    <w:name w:val="Текст выноски Знак"/>
    <w:basedOn w:val="DefaultParagraphFont"/>
    <w:qFormat/>
    <w:rPr>
      <w:rFonts w:ascii="Segoe UI" w:hAnsi="Segoe UI" w:eastAsia="Times New Roman" w:cs="Segoe UI"/>
      <w:sz w:val="18"/>
      <w:szCs w:val="18"/>
    </w:rPr>
  </w:style>
  <w:style w:type="character" w:styleId="Style17" w:customStyle="1">
    <w:name w:val="Основной текст Знак"/>
    <w:basedOn w:val="DefaultParagraphFont"/>
    <w:qFormat/>
    <w:rPr>
      <w:rFonts w:ascii="Times New Roman" w:hAnsi="Times New Roman" w:eastAsia="Times New Roman" w:cs="Times New Roman"/>
      <w:sz w:val="24"/>
      <w:szCs w:val="24"/>
    </w:rPr>
  </w:style>
  <w:style w:type="character" w:styleId="Style18" w:customStyle="1">
    <w:name w:val="Красная строка Знак"/>
    <w:basedOn w:val="Style17"/>
    <w:qFormat/>
    <w:rPr>
      <w:rFonts w:ascii="Times New Roman" w:hAnsi="Times New Roman" w:eastAsia="Times New Roman" w:cs="Times New Roman"/>
      <w:sz w:val="24"/>
      <w:szCs w:val="24"/>
      <w:lang w:val="ru-RU"/>
    </w:rPr>
  </w:style>
  <w:style w:type="character" w:styleId="ListLabel1" w:customStyle="1">
    <w:name w:val="ListLabel 1"/>
    <w:qFormat/>
    <w:rPr>
      <w:color w:val="00000A"/>
    </w:rPr>
  </w:style>
  <w:style w:type="character" w:styleId="ListLabel2" w:customStyle="1">
    <w:name w:val="ListLabel 2"/>
    <w:qFormat/>
    <w:rPr>
      <w:rFonts w:eastAsia="Times New Roman"/>
    </w:rPr>
  </w:style>
  <w:style w:type="character" w:styleId="ListLabel3" w:customStyle="1">
    <w:name w:val="ListLabel 3"/>
    <w:qFormat/>
    <w:rPr>
      <w:rFonts w:cs="Courier New"/>
    </w:rPr>
  </w:style>
  <w:style w:type="character" w:styleId="ListLabel4" w:customStyle="1">
    <w:name w:val="ListLabel 4"/>
    <w:qFormat/>
    <w:rPr>
      <w:rFonts w:cs="Courier New"/>
    </w:rPr>
  </w:style>
  <w:style w:type="character" w:styleId="ListLabel5" w:customStyle="1">
    <w:name w:val="ListLabel 5"/>
    <w:qFormat/>
    <w:rPr>
      <w:rFonts w:cs="Courier New"/>
    </w:rPr>
  </w:style>
  <w:style w:type="character" w:styleId="ListLabel6" w:customStyle="1">
    <w:name w:val="ListLabel 6"/>
    <w:qFormat/>
    <w:rPr>
      <w:b w:val="false"/>
    </w:rPr>
  </w:style>
  <w:style w:type="character" w:styleId="ListLabel7" w:customStyle="1">
    <w:name w:val="ListLabel 7"/>
    <w:qFormat/>
    <w:rPr>
      <w:rFonts w:cs="Courier New"/>
    </w:rPr>
  </w:style>
  <w:style w:type="character" w:styleId="ListLabel8" w:customStyle="1">
    <w:name w:val="ListLabel 8"/>
    <w:qFormat/>
    <w:rPr>
      <w:rFonts w:cs="Courier New"/>
    </w:rPr>
  </w:style>
  <w:style w:type="character" w:styleId="ListLabel9" w:customStyle="1">
    <w:name w:val="ListLabel 9"/>
    <w:qFormat/>
    <w:rPr>
      <w:rFonts w:cs="Courier New"/>
    </w:rPr>
  </w:style>
  <w:style w:type="character" w:styleId="ListLabel10" w:customStyle="1">
    <w:name w:val="ListLabel 10"/>
    <w:qFormat/>
    <w:rPr>
      <w:b w:val="false"/>
    </w:rPr>
  </w:style>
  <w:style w:type="character" w:styleId="ListLabel11" w:customStyle="1">
    <w:name w:val="ListLabel 11"/>
    <w:qFormat/>
    <w:rPr>
      <w:rFonts w:cs="Courier New"/>
    </w:rPr>
  </w:style>
  <w:style w:type="character" w:styleId="ListLabel12" w:customStyle="1">
    <w:name w:val="ListLabel 12"/>
    <w:qFormat/>
    <w:rPr>
      <w:rFonts w:cs="Courier New"/>
    </w:rPr>
  </w:style>
  <w:style w:type="character" w:styleId="ListLabel13" w:customStyle="1">
    <w:name w:val="ListLabel 13"/>
    <w:qFormat/>
    <w:rPr>
      <w:rFonts w:cs="Courier New"/>
    </w:rPr>
  </w:style>
  <w:style w:type="character" w:styleId="ListLabel14" w:customStyle="1">
    <w:name w:val="ListLabel 14"/>
    <w:qFormat/>
    <w:rPr>
      <w:b/>
      <w:lang w:val="uk-UA"/>
    </w:rPr>
  </w:style>
  <w:style w:type="character" w:styleId="ListLabel15" w:customStyle="1">
    <w:name w:val="ListLabel 15"/>
    <w:qFormat/>
    <w:rPr>
      <w:rFonts w:cs="Times New Roman"/>
      <w:b/>
    </w:rPr>
  </w:style>
  <w:style w:type="character" w:styleId="ListLabel16" w:customStyle="1">
    <w:name w:val="ListLabel 16"/>
    <w:qFormat/>
    <w:rPr>
      <w:b w:val="false"/>
    </w:rPr>
  </w:style>
  <w:style w:type="character" w:styleId="Style19" w:customStyle="1">
    <w:name w:val="Основной текст с отступом Знак"/>
    <w:basedOn w:val="1"/>
    <w:qFormat/>
    <w:rPr>
      <w:rFonts w:ascii="Calibri" w:hAnsi="Calibri" w:eastAsia="Calibri" w:cs="Calibri"/>
      <w:sz w:val="22"/>
      <w:szCs w:val="22"/>
    </w:rPr>
  </w:style>
  <w:style w:type="character" w:styleId="Docdata">
    <w:name w:val="docdata"/>
    <w:basedOn w:val="DefaultParagraphFont"/>
    <w:qFormat/>
    <w:rPr/>
  </w:style>
  <w:style w:type="paragraph" w:styleId="Style20">
    <w:name w:val="Заголовок"/>
    <w:basedOn w:val="Normal"/>
    <w:next w:val="Style21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21">
    <w:name w:val="Body Text"/>
    <w:basedOn w:val="Normal"/>
    <w:pPr>
      <w:spacing w:before="0" w:after="120"/>
    </w:pPr>
    <w:rPr/>
  </w:style>
  <w:style w:type="paragraph" w:styleId="Style22">
    <w:name w:val="List"/>
    <w:basedOn w:val="Style21"/>
    <w:pPr/>
    <w:rPr>
      <w:rFonts w:cs="Mangal"/>
    </w:rPr>
  </w:style>
  <w:style w:type="paragraph" w:styleId="Style23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4">
    <w:name w:val="Указатель"/>
    <w:basedOn w:val="Normal"/>
    <w:qFormat/>
    <w:pPr>
      <w:suppressLineNumbers/>
    </w:pPr>
    <w:rPr>
      <w:rFonts w:cs="Mangal"/>
    </w:rPr>
  </w:style>
  <w:style w:type="paragraph" w:styleId="11" w:customStyle="1">
    <w:name w:val="Заголовок1"/>
    <w:basedOn w:val="Normal"/>
    <w:next w:val="Style21"/>
    <w:qFormat/>
    <w:pPr>
      <w:keepNext w:val="true"/>
      <w:spacing w:before="240" w:after="120"/>
    </w:pPr>
    <w:rPr>
      <w:rFonts w:ascii="Liberation Sans" w:hAnsi="Liberation Sans" w:eastAsia="Lucida Sans Unicode" w:cs="Mangal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2" w:customStyle="1">
    <w:name w:val="Указатель2"/>
    <w:basedOn w:val="Normal"/>
    <w:qFormat/>
    <w:pPr>
      <w:suppressLineNumbers/>
    </w:pPr>
    <w:rPr>
      <w:rFonts w:cs="Mangal"/>
    </w:rPr>
  </w:style>
  <w:style w:type="paragraph" w:styleId="12" w:customStyle="1">
    <w:name w:val="Название объекта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3" w:customStyle="1">
    <w:name w:val="Указатель1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34"/>
    <w:qFormat/>
    <w:pPr>
      <w:suppressAutoHyphens w:val="false"/>
      <w:spacing w:lineRule="exact" w:line="278" w:before="10" w:after="0"/>
      <w:ind w:left="720" w:hanging="284"/>
      <w:contextualSpacing/>
      <w:jc w:val="both"/>
    </w:pPr>
    <w:rPr>
      <w:rFonts w:ascii="Calibri" w:hAnsi="Calibri" w:eastAsia="Calibri" w:cs="Calibri"/>
      <w:kern w:val="0"/>
      <w:sz w:val="22"/>
      <w:szCs w:val="22"/>
    </w:rPr>
  </w:style>
  <w:style w:type="paragraph" w:styleId="Default" w:customStyle="1">
    <w:name w:val="Default"/>
    <w:qFormat/>
    <w:pPr>
      <w:widowControl/>
      <w:suppressAutoHyphens w:val="true"/>
      <w:bidi w:val="0"/>
      <w:jc w:val="left"/>
    </w:pPr>
    <w:rPr>
      <w:rFonts w:ascii="Times New Roman" w:hAnsi="Times New Roman" w:eastAsia="Times New Roman" w:cs="Times New Roman"/>
      <w:color w:val="000000"/>
      <w:kern w:val="2"/>
      <w:sz w:val="24"/>
      <w:szCs w:val="24"/>
      <w:lang w:val="ru-RU" w:eastAsia="zh-CN" w:bidi="ar-SA"/>
    </w:rPr>
  </w:style>
  <w:style w:type="paragraph" w:styleId="NormalWeb" w:customStyle="1">
    <w:name w:val="Normal (Web)"/>
    <w:basedOn w:val="Normal"/>
    <w:qFormat/>
    <w:pPr>
      <w:spacing w:before="280" w:after="280"/>
      <w:jc w:val="both"/>
    </w:pPr>
    <w:rPr/>
  </w:style>
  <w:style w:type="paragraph" w:styleId="Style25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6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alloonText" w:customStyle="1">
    <w:name w:val="Balloon Text"/>
    <w:basedOn w:val="Normal"/>
    <w:qFormat/>
    <w:pPr/>
    <w:rPr>
      <w:rFonts w:ascii="Segoe UI" w:hAnsi="Segoe UI" w:cs="Segoe UI"/>
      <w:sz w:val="18"/>
      <w:szCs w:val="18"/>
    </w:rPr>
  </w:style>
  <w:style w:type="paragraph" w:styleId="Style27" w:customStyle="1">
    <w:name w:val="Body Text Indent"/>
    <w:basedOn w:val="Style21"/>
    <w:pPr>
      <w:suppressAutoHyphens w:val="false"/>
      <w:spacing w:lineRule="auto" w:line="276"/>
      <w:ind w:firstLine="210"/>
    </w:pPr>
    <w:rPr>
      <w:rFonts w:ascii="Calibri" w:hAnsi="Calibri" w:eastAsia="Calibri" w:cs="Calibri"/>
      <w:kern w:val="0"/>
      <w:sz w:val="22"/>
      <w:szCs w:val="22"/>
    </w:rPr>
  </w:style>
  <w:style w:type="paragraph" w:styleId="14" w:customStyle="1">
    <w:name w:val="Абзац списка1"/>
    <w:basedOn w:val="Normal"/>
    <w:qFormat/>
    <w:pPr>
      <w:spacing w:lineRule="auto" w:line="276" w:before="0" w:after="200"/>
      <w:ind w:left="720" w:hanging="0"/>
      <w:contextualSpacing/>
    </w:pPr>
    <w:rPr>
      <w:rFonts w:ascii="Calibri" w:hAnsi="Calibri" w:cs="Calibri"/>
      <w:kern w:val="0"/>
      <w:sz w:val="22"/>
      <w:szCs w:val="22"/>
    </w:rPr>
  </w:style>
  <w:style w:type="paragraph" w:styleId="15" w:customStyle="1">
    <w:name w:val="Основной текст с отступом1"/>
    <w:basedOn w:val="Style21"/>
    <w:qFormat/>
    <w:pPr>
      <w:spacing w:lineRule="auto" w:line="276"/>
      <w:ind w:firstLine="210"/>
    </w:pPr>
    <w:rPr>
      <w:rFonts w:ascii="Calibri" w:hAnsi="Calibri" w:eastAsia="Calibri" w:cs="Calibri"/>
      <w:kern w:val="0"/>
      <w:sz w:val="22"/>
      <w:szCs w:val="22"/>
    </w:rPr>
  </w:style>
  <w:style w:type="paragraph" w:styleId="Style28" w:customStyle="1">
    <w:name w:val="Содержимое таблицы"/>
    <w:basedOn w:val="Normal"/>
    <w:qFormat/>
    <w:pPr>
      <w:suppressLineNumbers/>
    </w:pPr>
    <w:rPr/>
  </w:style>
  <w:style w:type="paragraph" w:styleId="Style29" w:customStyle="1">
    <w:name w:val="Заголовок таблицы"/>
    <w:basedOn w:val="Style28"/>
    <w:qFormat/>
    <w:pPr>
      <w:jc w:val="center"/>
    </w:pPr>
    <w:rPr>
      <w:b/>
      <w:bCs/>
    </w:rPr>
  </w:style>
  <w:style w:type="paragraph" w:styleId="Rvps12" w:customStyle="1">
    <w:name w:val="rvps12"/>
    <w:basedOn w:val="Normal"/>
    <w:qFormat/>
    <w:rsid w:val="0068199b"/>
    <w:pPr>
      <w:suppressAutoHyphens w:val="false"/>
      <w:spacing w:beforeAutospacing="1" w:afterAutospacing="1"/>
    </w:pPr>
    <w:rPr>
      <w:kern w:val="0"/>
      <w:lang w:eastAsia="uk-U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Application>LibreOffice/6.1.4.2$Windows_x86 LibreOffice_project/9d0f32d1f0b509096fd65e0d4bec26ddd1938fd3</Application>
  <Pages>3</Pages>
  <Words>880</Words>
  <Characters>6142</Characters>
  <CharactersWithSpaces>6986</CharactersWithSpaces>
  <Paragraphs>70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2024-04-18T04:49:00Z</dcterms:created>
  <dc:creator>Семіда Наталія Миколаївна</dc:creator>
  <dc:description/>
  <dc:language>uk-UA</dc:language>
  <cp:lastModifiedBy/>
  <cp:lastPrinted>2017-04-18T09:06:00Z</cp:lastPrinted>
  <dcterms:modified xsi:type="dcterms:W3CDTF">2025-03-24T13:44:40Z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