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ascii="Times New Roman" w:hAnsi="Times New Roman" w:eastAsia="Times New Roman" w:cs="Times New Roman"/>
          <w:b/>
          <w:b/>
          <w:bCs/>
          <w:sz w:val="20"/>
          <w:szCs w:val="20"/>
          <w:lang w:val="uk-UA" w:eastAsia="ru-RU"/>
        </w:rPr>
      </w:pPr>
      <w:r>
        <w:rPr>
          <w:rFonts w:eastAsia="Times New Roman" w:cs="Times New Roman" w:ascii="Times New Roman" w:hAnsi="Times New Roman"/>
          <w:b/>
          <w:bCs/>
          <w:sz w:val="20"/>
          <w:szCs w:val="20"/>
          <w:lang w:val="uk-UA" w:eastAsia="ru-RU"/>
        </w:rPr>
        <w:t>ІНФОРМАЦІЯ</w:t>
      </w:r>
    </w:p>
    <w:p>
      <w:pPr>
        <w:pStyle w:val="Normal"/>
        <w:spacing w:lineRule="auto" w:line="240" w:before="0" w:after="0"/>
        <w:jc w:val="center"/>
        <w:rPr>
          <w:rFonts w:ascii="Times New Roman" w:hAnsi="Times New Roman" w:eastAsia="Times New Roman" w:cs="Times New Roman"/>
          <w:b/>
          <w:b/>
          <w:bCs/>
          <w:sz w:val="20"/>
          <w:szCs w:val="20"/>
          <w:lang w:val="uk-UA" w:eastAsia="ru-RU"/>
        </w:rPr>
      </w:pPr>
      <w:r>
        <w:rPr>
          <w:rFonts w:eastAsia="Times New Roman" w:cs="Times New Roman" w:ascii="Times New Roman" w:hAnsi="Times New Roman"/>
          <w:b/>
          <w:bCs/>
          <w:sz w:val="20"/>
          <w:szCs w:val="20"/>
          <w:lang w:val="uk-UA" w:eastAsia="ru-RU"/>
        </w:rPr>
        <w:t>ПРО ПЕРЕЛІК ДОКУМЕНТІВ, ЩО МАЄ НАДАТИ</w:t>
      </w:r>
    </w:p>
    <w:p>
      <w:pPr>
        <w:pStyle w:val="Normal"/>
        <w:spacing w:lineRule="auto" w:line="240" w:before="0" w:after="0"/>
        <w:jc w:val="center"/>
        <w:rPr>
          <w:rFonts w:ascii="Times New Roman" w:hAnsi="Times New Roman" w:eastAsia="Times New Roman" w:cs="Times New Roman"/>
          <w:b/>
          <w:b/>
          <w:bCs/>
          <w:sz w:val="20"/>
          <w:szCs w:val="20"/>
          <w:lang w:val="uk-UA" w:eastAsia="ru-RU"/>
        </w:rPr>
      </w:pPr>
      <w:r>
        <w:rPr>
          <w:rFonts w:eastAsia="Times New Roman" w:cs="Times New Roman" w:ascii="Times New Roman" w:hAnsi="Times New Roman"/>
          <w:b/>
          <w:bCs/>
          <w:sz w:val="20"/>
          <w:szCs w:val="20"/>
          <w:lang w:val="uk-UA" w:eastAsia="ru-RU"/>
        </w:rPr>
        <w:t>АКЦІОНЕР (ПРЕДСТАВНИК АКЦІОНЕРА) ДЛЯ ЙОГО</w:t>
      </w:r>
    </w:p>
    <w:p>
      <w:pPr>
        <w:pStyle w:val="Normal"/>
        <w:spacing w:lineRule="auto" w:line="240" w:before="0" w:after="0"/>
        <w:jc w:val="center"/>
        <w:rPr>
          <w:rFonts w:ascii="Times New Roman" w:hAnsi="Times New Roman" w:eastAsia="Times New Roman" w:cs="Times New Roman"/>
          <w:b/>
          <w:b/>
          <w:bCs/>
          <w:sz w:val="20"/>
          <w:szCs w:val="20"/>
          <w:lang w:val="uk-UA" w:eastAsia="ru-RU"/>
        </w:rPr>
      </w:pPr>
      <w:r>
        <w:rPr>
          <w:rFonts w:eastAsia="Times New Roman" w:cs="Times New Roman" w:ascii="Times New Roman" w:hAnsi="Times New Roman"/>
          <w:b/>
          <w:bCs/>
          <w:sz w:val="20"/>
          <w:szCs w:val="20"/>
          <w:lang w:val="uk-UA" w:eastAsia="ru-RU"/>
        </w:rPr>
        <w:t>УЧАСТІ В ДИСТАНЦІЙНОМУ ПРОВЕДЕННІ ПОЗАЧЕРГОВИХ ДИСТАНЦІЙНИХ</w:t>
      </w:r>
    </w:p>
    <w:p>
      <w:pPr>
        <w:pStyle w:val="Normal"/>
        <w:spacing w:lineRule="auto" w:line="240" w:before="0" w:after="0"/>
        <w:jc w:val="center"/>
        <w:rPr>
          <w:rFonts w:ascii="Times New Roman" w:hAnsi="Times New Roman" w:eastAsia="Times New Roman" w:cs="Times New Roman"/>
          <w:b/>
          <w:b/>
          <w:bCs/>
          <w:sz w:val="20"/>
          <w:szCs w:val="20"/>
          <w:lang w:val="uk-UA" w:eastAsia="ru-RU"/>
        </w:rPr>
      </w:pPr>
      <w:r>
        <w:rPr>
          <w:rFonts w:eastAsia="Times New Roman" w:cs="Times New Roman" w:ascii="Times New Roman" w:hAnsi="Times New Roman"/>
          <w:b/>
          <w:bCs/>
          <w:sz w:val="20"/>
          <w:szCs w:val="20"/>
          <w:lang w:val="uk-UA" w:eastAsia="ru-RU"/>
        </w:rPr>
        <w:t xml:space="preserve">ЗАГАЛЬНИХ ЗБОРІВ АКЦІОНЕРІВ ПрАТ «НОВООЛЕКСАНДРІВСЬКЕ» </w:t>
      </w:r>
    </w:p>
    <w:p>
      <w:pPr>
        <w:pStyle w:val="Normal"/>
        <w:spacing w:lineRule="auto" w:line="240" w:before="0" w:after="0"/>
        <w:jc w:val="center"/>
        <w:rPr>
          <w:rFonts w:ascii="Times New Roman" w:hAnsi="Times New Roman" w:eastAsia="Times New Roman" w:cs="Times New Roman"/>
          <w:b/>
          <w:b/>
          <w:bCs/>
          <w:sz w:val="20"/>
          <w:szCs w:val="20"/>
          <w:lang w:val="uk-UA" w:eastAsia="ru-RU"/>
        </w:rPr>
      </w:pPr>
      <w:r>
        <w:rPr>
          <w:rFonts w:eastAsia="Times New Roman" w:cs="Times New Roman" w:ascii="Times New Roman" w:hAnsi="Times New Roman"/>
          <w:b/>
          <w:bCs/>
          <w:sz w:val="20"/>
          <w:szCs w:val="20"/>
          <w:lang w:val="uk-UA" w:eastAsia="ru-RU"/>
        </w:rPr>
        <w:t xml:space="preserve">(код ЄДРПОУ </w:t>
      </w:r>
      <w:r>
        <w:rPr>
          <w:rStyle w:val="Strong"/>
          <w:rFonts w:cs="Times New Roman" w:ascii="Times New Roman" w:hAnsi="Times New Roman"/>
          <w:sz w:val="20"/>
          <w:szCs w:val="20"/>
          <w:shd w:fill="FFFFFF" w:val="clear"/>
          <w:lang w:eastAsia="ru-RU"/>
        </w:rPr>
        <w:t>00412263</w:t>
      </w:r>
      <w:r>
        <w:rPr>
          <w:rFonts w:eastAsia="Times New Roman" w:cs="Times New Roman" w:ascii="Times New Roman" w:hAnsi="Times New Roman"/>
          <w:sz w:val="20"/>
          <w:szCs w:val="20"/>
          <w:lang w:val="uk-UA" w:eastAsia="ru-RU"/>
        </w:rPr>
        <w:t>)</w:t>
      </w:r>
      <w:r>
        <w:rPr>
          <w:rFonts w:eastAsia="Times New Roman" w:cs="Times New Roman" w:ascii="Times New Roman" w:hAnsi="Times New Roman"/>
          <w:b/>
          <w:bCs/>
          <w:sz w:val="20"/>
          <w:szCs w:val="20"/>
          <w:lang w:val="uk-UA" w:eastAsia="ru-RU"/>
        </w:rPr>
        <w:t xml:space="preserve">  (надалі – «Товариство»),</w:t>
      </w:r>
    </w:p>
    <w:p>
      <w:pPr>
        <w:pStyle w:val="Normal"/>
        <w:spacing w:lineRule="auto" w:line="240" w:before="0" w:after="0"/>
        <w:jc w:val="center"/>
        <w:rPr>
          <w:rFonts w:ascii="Times New Roman" w:hAnsi="Times New Roman" w:eastAsia="Times New Roman" w:cs="Times New Roman"/>
          <w:b/>
          <w:b/>
          <w:bCs/>
          <w:sz w:val="20"/>
          <w:szCs w:val="20"/>
          <w:lang w:val="uk-UA" w:eastAsia="ru-RU"/>
        </w:rPr>
      </w:pPr>
      <w:r>
        <w:rPr>
          <w:rFonts w:eastAsia="Times New Roman" w:cs="Times New Roman" w:ascii="Times New Roman" w:hAnsi="Times New Roman"/>
          <w:b/>
          <w:bCs/>
          <w:sz w:val="20"/>
          <w:szCs w:val="20"/>
          <w:lang w:val="uk-UA" w:eastAsia="ru-RU"/>
        </w:rPr>
      </w:r>
    </w:p>
    <w:p>
      <w:pPr>
        <w:pStyle w:val="Normal"/>
        <w:spacing w:lineRule="auto" w:line="240" w:before="0" w:after="0"/>
        <w:jc w:val="center"/>
        <w:rPr>
          <w:rFonts w:ascii="Times New Roman" w:hAnsi="Times New Roman" w:eastAsia="Times New Roman" w:cs="Times New Roman"/>
          <w:b/>
          <w:b/>
          <w:bCs/>
          <w:sz w:val="20"/>
          <w:szCs w:val="20"/>
          <w:lang w:val="uk-UA" w:eastAsia="ru-RU"/>
        </w:rPr>
      </w:pPr>
      <w:r>
        <w:rPr>
          <w:rFonts w:eastAsia="Times New Roman" w:cs="Times New Roman" w:ascii="Times New Roman" w:hAnsi="Times New Roman"/>
          <w:b/>
          <w:bCs/>
          <w:sz w:val="20"/>
          <w:szCs w:val="20"/>
          <w:lang w:val="uk-UA" w:eastAsia="ru-RU"/>
        </w:rPr>
        <w:t>ПРОВЕДЕННЯ ЯКИХ ЗАПЛАНОВАНО НА 12.11.2024р.</w:t>
      </w:r>
    </w:p>
    <w:p>
      <w:pPr>
        <w:pStyle w:val="Normal"/>
        <w:spacing w:lineRule="auto" w:line="240" w:before="0" w:after="0"/>
        <w:jc w:val="center"/>
        <w:rPr>
          <w:rFonts w:ascii="Times New Roman" w:hAnsi="Times New Roman" w:eastAsia="Times New Roman" w:cs="Times New Roman"/>
          <w:b/>
          <w:b/>
          <w:bCs/>
          <w:sz w:val="20"/>
          <w:szCs w:val="20"/>
          <w:lang w:val="uk-UA" w:eastAsia="ru-RU"/>
        </w:rPr>
      </w:pPr>
      <w:r>
        <w:rPr>
          <w:rFonts w:eastAsia="Times New Roman" w:cs="Times New Roman" w:ascii="Times New Roman" w:hAnsi="Times New Roman"/>
          <w:b/>
          <w:bCs/>
          <w:sz w:val="20"/>
          <w:szCs w:val="20"/>
          <w:lang w:val="uk-UA" w:eastAsia="ru-RU"/>
        </w:rPr>
      </w:r>
    </w:p>
    <w:p>
      <w:pPr>
        <w:pStyle w:val="Normal"/>
        <w:jc w:val="both"/>
        <w:rPr>
          <w:rFonts w:ascii="Times New Roman" w:hAnsi="Times New Roman" w:cs="Times New Roman"/>
          <w:sz w:val="20"/>
          <w:szCs w:val="20"/>
        </w:rPr>
      </w:pPr>
      <w:r>
        <w:rPr>
          <w:rFonts w:cs="Times New Roman" w:ascii="Times New Roman" w:hAnsi="Times New Roman"/>
          <w:sz w:val="20"/>
          <w:szCs w:val="20"/>
        </w:rPr>
        <w:t>Кожен акціонер - власник голосуючих акцій має право реалізувати своє право на управління Товариством шляхом участі у Загальних зборах та голосування шляхом подання бюлетенів депозитарній установі, яка обслуговує рахунок в цінних паперах такого акціонера, на якому обліковуються належні акціонеру акції Товариства на дату складення переліку акціонерів, які мають право на участь у Загальних зборах.</w:t>
      </w:r>
    </w:p>
    <w:p>
      <w:pPr>
        <w:pStyle w:val="Normal"/>
        <w:jc w:val="both"/>
        <w:rPr>
          <w:rFonts w:ascii="Times New Roman" w:hAnsi="Times New Roman" w:cs="Times New Roman"/>
          <w:sz w:val="20"/>
          <w:szCs w:val="20"/>
        </w:rPr>
      </w:pPr>
      <w:r>
        <w:rPr>
          <w:rFonts w:cs="Times New Roman" w:ascii="Times New Roman" w:hAnsi="Times New Roman"/>
          <w:sz w:val="20"/>
          <w:szCs w:val="20"/>
        </w:rPr>
        <w:t xml:space="preserve">У разі відмови депозитарної установи у прийнятті бюлетеня для голосування, акціонер (його представник) має право до завершення голосування на загальних зборах направити бюлетень для голосування, оригінал або належно засвідчену копію відмови депозитарної установи у прийнятті бюлетеня для голосування, а також оригінали та/або належним чином засвідчені копії документів, що підтверджують особу акціонера (представника акціонера), повноваження представника акціонера (у разі підписання бюлетеня для голосування представником акціонера) на адресу електронної пошти: </w:t>
      </w:r>
      <w:r>
        <w:rPr>
          <w:rFonts w:cs="Times New Roman" w:ascii="Times New Roman" w:hAnsi="Times New Roman"/>
          <w:sz w:val="20"/>
          <w:szCs w:val="20"/>
          <w:u w:val="single"/>
        </w:rPr>
        <w:t>n.alekcandrovskoe@ukr.net</w:t>
      </w:r>
      <w:r>
        <w:rPr>
          <w:rFonts w:cs="Times New Roman" w:ascii="Times New Roman" w:hAnsi="Times New Roman"/>
          <w:sz w:val="20"/>
          <w:szCs w:val="20"/>
        </w:rPr>
        <w:t>.  У такому разі акціонер (його представник) одночасно направляє копію відмови депозитарної установи у прийнятті бюлетеня для голосування до Національної комісії з цінних паперів та фондового ринку.</w:t>
      </w:r>
    </w:p>
    <w:p>
      <w:pPr>
        <w:pStyle w:val="Normal"/>
        <w:jc w:val="both"/>
        <w:rPr>
          <w:rFonts w:ascii="Times New Roman" w:hAnsi="Times New Roman" w:cs="Times New Roman"/>
          <w:sz w:val="20"/>
          <w:szCs w:val="20"/>
        </w:rPr>
      </w:pPr>
      <w:r>
        <w:rPr>
          <w:rFonts w:cs="Times New Roman" w:ascii="Times New Roman" w:hAnsi="Times New Roman"/>
          <w:sz w:val="20"/>
          <w:szCs w:val="20"/>
        </w:rPr>
        <w:t>Голосування на Загальних зборах з питань порядку денного проводиться виключно з використанням бюлетенів для голосування – бюлетеня для голосування (щодо інших питань порядку денного, крім обрання органів товариства) та бюлетеню для голосування з питань обрання органів товариства (крім кумулятивного голосування).</w:t>
      </w:r>
    </w:p>
    <w:p>
      <w:pPr>
        <w:pStyle w:val="Normal"/>
        <w:jc w:val="both"/>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У разі, якщо акціонер має рахунки в цінних паперах в декількох депозитарних установах, на яких обліковуються акції Товариства, кожна із депозитарних установ приймає бюлетень для голосування на Загальних зборах лише щодо тієї кількості акцій, права на які обліковуються на рахунку в цінних паперах, що обслуговується такою депозитарною установою.</w:t>
      </w:r>
    </w:p>
    <w:p>
      <w:pPr>
        <w:pStyle w:val="Normal"/>
        <w:jc w:val="both"/>
        <w:rPr>
          <w:rFonts w:ascii="Times New Roman" w:hAnsi="Times New Roman" w:cs="Times New Roman"/>
          <w:sz w:val="20"/>
          <w:szCs w:val="20"/>
        </w:rPr>
      </w:pPr>
      <w:r>
        <w:rPr>
          <w:rFonts w:cs="Times New Roman" w:ascii="Times New Roman" w:hAnsi="Times New Roman"/>
          <w:sz w:val="20"/>
          <w:szCs w:val="20"/>
        </w:rPr>
        <w:t>У випадку подання бюлетеня для голосування, підписаного представником акціонера, до бюлетеня для голосування додаються документи, що підтверджують повноваження такого представника акціонера або їх належним чином засвідчені копії.</w:t>
      </w:r>
    </w:p>
    <w:p>
      <w:pPr>
        <w:pStyle w:val="Normal"/>
        <w:jc w:val="both"/>
        <w:rPr>
          <w:rFonts w:ascii="Times New Roman" w:hAnsi="Times New Roman" w:cs="Times New Roman"/>
          <w:sz w:val="20"/>
          <w:szCs w:val="20"/>
        </w:rPr>
      </w:pPr>
      <w:r>
        <w:rPr>
          <w:rFonts w:cs="Times New Roman" w:ascii="Times New Roman" w:hAnsi="Times New Roman"/>
          <w:sz w:val="20"/>
          <w:szCs w:val="20"/>
        </w:rPr>
        <w:t>Представником акціонера на Загальних зборах може бути фізична особа або уповноважена особа юридичної особи, а також уповноважена особа держави чи територіальної громади.</w:t>
      </w:r>
    </w:p>
    <w:p>
      <w:pPr>
        <w:pStyle w:val="Normal"/>
        <w:jc w:val="both"/>
        <w:rPr>
          <w:rFonts w:ascii="Times New Roman" w:hAnsi="Times New Roman" w:cs="Times New Roman"/>
          <w:sz w:val="20"/>
          <w:szCs w:val="20"/>
        </w:rPr>
      </w:pPr>
      <w:r>
        <w:rPr>
          <w:rFonts w:cs="Times New Roman" w:ascii="Times New Roman" w:hAnsi="Times New Roman"/>
          <w:sz w:val="20"/>
          <w:szCs w:val="20"/>
        </w:rPr>
        <w:t>Посадові особи органів акціонерного товариства та їх афілійовані особи не можуть бути представниками інших акціонерів акціонерного товариства на Загальних зборах.</w:t>
      </w:r>
    </w:p>
    <w:p>
      <w:pPr>
        <w:pStyle w:val="Normal"/>
        <w:jc w:val="both"/>
        <w:rPr>
          <w:rFonts w:ascii="Times New Roman" w:hAnsi="Times New Roman" w:cs="Times New Roman"/>
          <w:sz w:val="20"/>
          <w:szCs w:val="20"/>
        </w:rPr>
      </w:pPr>
      <w:r>
        <w:rPr>
          <w:rFonts w:cs="Times New Roman" w:ascii="Times New Roman" w:hAnsi="Times New Roman"/>
          <w:sz w:val="20"/>
          <w:szCs w:val="20"/>
        </w:rPr>
        <w:t>Представником акціонера - фізичної чи юридичної особи на загальних зборах може бути інша фізична особа або уповноважена особа юридичної особи, а представником акціонера - держави чи територіальної громади - уповноважена особа органу, що здійснює управління державним чи комунальним майном.</w:t>
      </w:r>
    </w:p>
    <w:p>
      <w:pPr>
        <w:pStyle w:val="Normal"/>
        <w:jc w:val="both"/>
        <w:rPr>
          <w:rFonts w:ascii="Times New Roman" w:hAnsi="Times New Roman" w:cs="Times New Roman"/>
          <w:sz w:val="20"/>
          <w:szCs w:val="20"/>
        </w:rPr>
      </w:pPr>
      <w:r>
        <w:rPr>
          <w:rFonts w:cs="Times New Roman" w:ascii="Times New Roman" w:hAnsi="Times New Roman"/>
          <w:sz w:val="20"/>
          <w:szCs w:val="20"/>
        </w:rPr>
        <w:t>Акціонер має право призначити свого представника постійно або на певний строк.</w:t>
      </w:r>
    </w:p>
    <w:p>
      <w:pPr>
        <w:pStyle w:val="Normal"/>
        <w:jc w:val="both"/>
        <w:rPr>
          <w:rFonts w:ascii="Times New Roman" w:hAnsi="Times New Roman" w:cs="Times New Roman"/>
          <w:sz w:val="20"/>
          <w:szCs w:val="20"/>
        </w:rPr>
      </w:pPr>
      <w:r>
        <w:rPr>
          <w:rFonts w:cs="Times New Roman" w:ascii="Times New Roman" w:hAnsi="Times New Roman"/>
          <w:sz w:val="20"/>
          <w:szCs w:val="20"/>
        </w:rPr>
        <w:t>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w:t>
      </w:r>
    </w:p>
    <w:p>
      <w:pPr>
        <w:pStyle w:val="Normal"/>
        <w:jc w:val="both"/>
        <w:rPr>
          <w:rFonts w:ascii="Times New Roman" w:hAnsi="Times New Roman" w:cs="Times New Roman"/>
          <w:sz w:val="20"/>
          <w:szCs w:val="20"/>
        </w:rPr>
      </w:pPr>
      <w:r>
        <w:rPr>
          <w:rFonts w:cs="Times New Roman" w:ascii="Times New Roman" w:hAnsi="Times New Roman"/>
          <w:sz w:val="20"/>
          <w:szCs w:val="20"/>
        </w:rPr>
        <w:t>Довіреність на право участі та голосування на загальних зборах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Якщо довіреність не містить завдання щодо голосування, представник вирішує всі питання щодо голосування на загальних зборах на свій розсуд.</w:t>
      </w:r>
    </w:p>
    <w:p>
      <w:pPr>
        <w:pStyle w:val="Normal"/>
        <w:jc w:val="both"/>
        <w:rPr>
          <w:rFonts w:ascii="Times New Roman" w:hAnsi="Times New Roman" w:cs="Times New Roman"/>
          <w:sz w:val="20"/>
          <w:szCs w:val="20"/>
        </w:rPr>
      </w:pPr>
      <w:r>
        <w:rPr>
          <w:rFonts w:cs="Times New Roman" w:ascii="Times New Roman" w:hAnsi="Times New Roman"/>
          <w:sz w:val="20"/>
          <w:szCs w:val="20"/>
        </w:rPr>
        <w:t>Акціонер має право видати довіреність на право участі та голосування на Загальних зборах декільком своїм представникам.</w:t>
      </w:r>
    </w:p>
    <w:p>
      <w:pPr>
        <w:pStyle w:val="Normal"/>
        <w:jc w:val="both"/>
        <w:rPr>
          <w:rFonts w:ascii="Times New Roman" w:hAnsi="Times New Roman" w:cs="Times New Roman"/>
          <w:sz w:val="20"/>
          <w:szCs w:val="20"/>
        </w:rPr>
      </w:pPr>
      <w:r>
        <w:rPr>
          <w:rFonts w:cs="Times New Roman" w:ascii="Times New Roman" w:hAnsi="Times New Roman"/>
          <w:sz w:val="20"/>
          <w:szCs w:val="20"/>
        </w:rPr>
        <w:t>Якщо для участі в Загальних зборах шляхом направлення бюлетенів для голосування здійснили декілька представників акціонера, яким довіреність видана одночасно, для участі в Загальних зборах допускається той представник, який надав бюлетень першим.</w:t>
      </w:r>
    </w:p>
    <w:p>
      <w:pPr>
        <w:pStyle w:val="Normal"/>
        <w:jc w:val="both"/>
        <w:rPr>
          <w:rFonts w:ascii="Times New Roman" w:hAnsi="Times New Roman" w:cs="Times New Roman"/>
          <w:sz w:val="20"/>
          <w:szCs w:val="20"/>
        </w:rPr>
      </w:pPr>
      <w:r>
        <w:rPr>
          <w:rFonts w:cs="Times New Roman" w:ascii="Times New Roman" w:hAnsi="Times New Roman"/>
          <w:sz w:val="20"/>
          <w:szCs w:val="20"/>
        </w:rPr>
        <w:t>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w:t>
      </w:r>
    </w:p>
    <w:p>
      <w:pPr>
        <w:pStyle w:val="Normal"/>
        <w:jc w:val="both"/>
        <w:rPr>
          <w:rFonts w:ascii="Times New Roman" w:hAnsi="Times New Roman" w:cs="Times New Roman"/>
          <w:sz w:val="20"/>
          <w:szCs w:val="20"/>
        </w:rPr>
      </w:pPr>
      <w:r>
        <w:rPr>
          <w:rFonts w:cs="Times New Roman" w:ascii="Times New Roman" w:hAnsi="Times New Roman"/>
          <w:sz w:val="20"/>
          <w:szCs w:val="20"/>
        </w:rPr>
        <w:t>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товариство та 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w:t>
      </w:r>
    </w:p>
    <w:p>
      <w:pPr>
        <w:pStyle w:val="Normal"/>
        <w:jc w:val="both"/>
        <w:rPr>
          <w:rFonts w:ascii="Times New Roman" w:hAnsi="Times New Roman" w:cs="Times New Roman"/>
          <w:sz w:val="20"/>
          <w:szCs w:val="20"/>
        </w:rPr>
      </w:pPr>
      <w:r>
        <w:rPr>
          <w:rFonts w:cs="Times New Roman" w:ascii="Times New Roman" w:hAnsi="Times New Roman"/>
          <w:sz w:val="20"/>
          <w:szCs w:val="20"/>
        </w:rPr>
        <w:t>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w:t>
      </w:r>
    </w:p>
    <w:p>
      <w:pPr>
        <w:pStyle w:val="Normal"/>
        <w:spacing w:before="120" w:after="120"/>
        <w:jc w:val="both"/>
        <w:rPr>
          <w:rFonts w:ascii="Times New Roman" w:hAnsi="Times New Roman" w:cs="Times New Roman"/>
          <w:sz w:val="20"/>
          <w:szCs w:val="20"/>
        </w:rPr>
      </w:pPr>
      <w:r>
        <w:rPr>
          <w:rFonts w:cs="Times New Roman" w:ascii="Times New Roman" w:hAnsi="Times New Roman"/>
          <w:sz w:val="20"/>
          <w:szCs w:val="20"/>
        </w:rPr>
        <w:t xml:space="preserve">Датою початку голосування акціонерів з відповідних питань порядку денного є дата розміщення на вебсайті відповідного бюлетеню для голосування у вільному для акціонерів доступі </w:t>
      </w:r>
      <w:r>
        <w:rPr>
          <w:rFonts w:cs="Times New Roman" w:ascii="Times New Roman" w:hAnsi="Times New Roman"/>
          <w:b/>
          <w:bCs/>
          <w:sz w:val="20"/>
          <w:szCs w:val="20"/>
        </w:rPr>
        <w:t xml:space="preserve">(Голосування на загальних зборах розпочинається з 11 години дня, який зазначено як дата розміщення бюлетенів для голосування (03.11.2024р.). </w:t>
      </w:r>
    </w:p>
    <w:p>
      <w:pPr>
        <w:pStyle w:val="Normal"/>
        <w:spacing w:before="120" w:after="120"/>
        <w:jc w:val="both"/>
        <w:rPr>
          <w:rFonts w:ascii="Times New Roman" w:hAnsi="Times New Roman" w:cs="Times New Roman"/>
          <w:sz w:val="20"/>
          <w:szCs w:val="20"/>
          <w:lang w:val="ru-RU"/>
        </w:rPr>
      </w:pPr>
      <w:r>
        <w:rPr>
          <w:rFonts w:cs="Times New Roman" w:ascii="Times New Roman" w:hAnsi="Times New Roman"/>
          <w:sz w:val="20"/>
          <w:szCs w:val="20"/>
          <w:lang w:val="ru-RU"/>
        </w:rPr>
        <w:t xml:space="preserve">Датою закінчення голосування акціонерів є дата проведення Загальних зборів – </w:t>
      </w:r>
      <w:r>
        <w:rPr>
          <w:rFonts w:cs="Times New Roman" w:ascii="Times New Roman" w:hAnsi="Times New Roman"/>
          <w:b/>
          <w:bCs/>
          <w:sz w:val="20"/>
          <w:szCs w:val="20"/>
          <w:lang w:val="uk-UA"/>
        </w:rPr>
        <w:t>12</w:t>
      </w:r>
      <w:r>
        <w:rPr>
          <w:rFonts w:cs="Times New Roman" w:ascii="Times New Roman" w:hAnsi="Times New Roman"/>
          <w:b/>
          <w:bCs/>
          <w:sz w:val="20"/>
          <w:szCs w:val="20"/>
          <w:lang w:val="ru-RU"/>
        </w:rPr>
        <w:t>.</w:t>
      </w:r>
      <w:r>
        <w:rPr>
          <w:rFonts w:cs="Times New Roman" w:ascii="Times New Roman" w:hAnsi="Times New Roman"/>
          <w:b/>
          <w:bCs/>
          <w:sz w:val="20"/>
          <w:szCs w:val="20"/>
          <w:lang w:val="uk-UA"/>
        </w:rPr>
        <w:t>11</w:t>
      </w:r>
      <w:r>
        <w:rPr>
          <w:rFonts w:cs="Times New Roman" w:ascii="Times New Roman" w:hAnsi="Times New Roman"/>
          <w:b/>
          <w:bCs/>
          <w:sz w:val="20"/>
          <w:szCs w:val="20"/>
          <w:lang w:val="ru-RU"/>
        </w:rPr>
        <w:t>.2024р. (</w:t>
      </w:r>
      <w:r>
        <w:rPr>
          <w:rFonts w:ascii="Times New Roman" w:hAnsi="Times New Roman"/>
          <w:b/>
          <w:bCs/>
          <w:iCs/>
          <w:sz w:val="20"/>
          <w:szCs w:val="20"/>
          <w:lang w:eastAsia="ru-RU"/>
        </w:rPr>
        <w:t>дата завершення голосування 12.11.2024</w:t>
      </w:r>
      <w:r>
        <w:rPr>
          <w:rFonts w:ascii="Times New Roman" w:hAnsi="Times New Roman"/>
          <w:b/>
          <w:bCs/>
          <w:iCs/>
          <w:sz w:val="20"/>
          <w:szCs w:val="20"/>
          <w:lang w:val="ru-RU" w:eastAsia="ru-RU"/>
        </w:rPr>
        <w:t>р.</w:t>
      </w:r>
      <w:r>
        <w:rPr>
          <w:rFonts w:ascii="Times New Roman" w:hAnsi="Times New Roman"/>
          <w:b/>
          <w:bCs/>
          <w:iCs/>
          <w:sz w:val="20"/>
          <w:szCs w:val="20"/>
          <w:lang w:eastAsia="ru-RU"/>
        </w:rPr>
        <w:t xml:space="preserve"> о 18.00</w:t>
      </w:r>
      <w:r>
        <w:rPr>
          <w:rFonts w:cs="Times New Roman" w:ascii="Times New Roman" w:hAnsi="Times New Roman"/>
          <w:b/>
          <w:bCs/>
          <w:sz w:val="20"/>
          <w:szCs w:val="20"/>
          <w:lang w:val="ru-RU"/>
        </w:rPr>
        <w:t xml:space="preserve">). </w:t>
      </w:r>
    </w:p>
    <w:p>
      <w:pPr>
        <w:pStyle w:val="Normal"/>
        <w:jc w:val="both"/>
        <w:rPr>
          <w:rFonts w:ascii="Times New Roman" w:hAnsi="Times New Roman" w:cs="Times New Roman"/>
          <w:sz w:val="20"/>
          <w:szCs w:val="20"/>
        </w:rPr>
      </w:pPr>
      <w:r>
        <w:rPr>
          <w:rFonts w:cs="Times New Roman" w:ascii="Times New Roman" w:hAnsi="Times New Roman"/>
          <w:sz w:val="20"/>
          <w:szCs w:val="20"/>
        </w:rPr>
        <w:t>Бюлетень для голосування на Загальних зборах засвідчується кваліфікованим електронним підписом акціонера (його представника) та/або іншим засобом електронної ідентифікації, що відповідає вимогам, визначеним Національною комісією з цінних паперів та фондового ринку.</w:t>
      </w:r>
    </w:p>
    <w:p>
      <w:pPr>
        <w:pStyle w:val="Normal"/>
        <w:spacing w:before="0" w:after="160"/>
        <w:jc w:val="both"/>
        <w:rPr>
          <w:rFonts w:ascii="Times New Roman" w:hAnsi="Times New Roman" w:cs="Times New Roman"/>
          <w:sz w:val="20"/>
          <w:szCs w:val="20"/>
          <w:lang w:val="ru-RU"/>
        </w:rPr>
      </w:pPr>
      <w:r>
        <w:rPr>
          <w:rFonts w:cs="Times New Roman" w:ascii="Times New Roman" w:hAnsi="Times New Roman"/>
          <w:sz w:val="20"/>
          <w:szCs w:val="20"/>
          <w:lang w:val="ru-RU"/>
        </w:rPr>
        <w:t>ПрАТ «Новоолександрівське» повідомляє, що особам, яким рахунок в цінних паперах депозитарною установою відкрито на підставі договору з емітентом, необхідно укласти договір з депозитарними установами для забезпечення реалізації права на участь у дистанційних Річних Загальних зборах акціонерів.</w:t>
      </w:r>
    </w:p>
    <w:sectPr>
      <w:type w:val="nextPage"/>
      <w:pgSz w:w="11906" w:h="16838"/>
      <w:pgMar w:left="1418" w:right="851" w:header="0" w:top="851" w:footer="0" w:bottom="56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UA"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UA" w:eastAsia="en-US" w:bidi="ar-SA"/>
    </w:rPr>
  </w:style>
  <w:style w:type="character" w:styleId="DefaultParagraphFont" w:default="1">
    <w:name w:val="Default Paragraph Font"/>
    <w:uiPriority w:val="1"/>
    <w:semiHidden/>
    <w:unhideWhenUsed/>
    <w:qFormat/>
    <w:rPr/>
  </w:style>
  <w:style w:type="character" w:styleId="Strong">
    <w:name w:val="Strong"/>
    <w:qFormat/>
    <w:rsid w:val="0052389c"/>
    <w:rPr>
      <w:b/>
      <w:bCs/>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Покажчик"/>
    <w:basedOn w:val="Normal"/>
    <w:qFormat/>
    <w:pPr>
      <w:suppressLineNumbers/>
    </w:pPr>
    <w:rPr>
      <w:rFonts w:cs="Arial"/>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Application>LibreOffice/6.4.4.2$Windows_x86 LibreOffice_project/3d775be2011f3886db32dfd395a6a6d1ca2630ff</Application>
  <Pages>2</Pages>
  <Words>772</Words>
  <Characters>5304</Characters>
  <CharactersWithSpaces>6058</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2024-05-29T06:36:00Z</dcterms:created>
  <dc:creator>Olena</dc:creator>
  <dc:description/>
  <dc:language>uk-UA</dc:language>
  <cp:lastModifiedBy/>
  <dcterms:modified xsi:type="dcterms:W3CDTF">2024-10-28T14:59:31Z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