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6379" w:hanging="0"/>
        <w:jc w:val="both"/>
        <w:rPr>
          <w:rFonts w:ascii="Times New Roman" w:hAnsi="Times New Roman" w:cs="Times New Roman"/>
          <w:i/>
          <w:i/>
        </w:rPr>
      </w:pPr>
      <w:bookmarkStart w:id="0" w:name="n1279"/>
      <w:bookmarkEnd w:id="0"/>
      <w:r>
        <w:rPr>
          <w:rFonts w:cs="Times New Roman" w:ascii="Times New Roman" w:hAnsi="Times New Roman"/>
          <w:i/>
        </w:rPr>
        <w:t>Додаток №</w:t>
      </w:r>
      <w:r>
        <w:rPr>
          <w:rFonts w:cs="Times New Roman" w:ascii="Times New Roman" w:hAnsi="Times New Roman"/>
          <w:i/>
          <w:lang w:val="en-US"/>
        </w:rPr>
        <w:t>2</w:t>
      </w:r>
    </w:p>
    <w:p>
      <w:pPr>
        <w:pStyle w:val="Normal"/>
        <w:spacing w:lineRule="auto" w:line="240" w:before="0" w:after="0"/>
        <w:ind w:left="6379" w:hanging="0"/>
        <w:jc w:val="both"/>
        <w:rPr>
          <w:rFonts w:ascii="Times New Roman" w:hAnsi="Times New Roman" w:cs="Times New Roman"/>
          <w:i/>
          <w:i/>
        </w:rPr>
      </w:pPr>
      <w:r>
        <w:rPr>
          <w:rFonts w:cs="Times New Roman" w:ascii="Times New Roman" w:hAnsi="Times New Roman"/>
          <w:i/>
        </w:rPr>
        <w:t>до протоколу Наглядової ради №</w:t>
      </w:r>
      <w:r>
        <w:rPr>
          <w:rFonts w:cs="Times New Roman" w:ascii="Times New Roman" w:hAnsi="Times New Roman"/>
          <w:i/>
          <w:lang w:val="uk-UA"/>
        </w:rPr>
        <w:t xml:space="preserve"> 2</w:t>
      </w:r>
      <w:r>
        <w:rPr>
          <w:rFonts w:cs="Times New Roman" w:ascii="Times New Roman" w:hAnsi="Times New Roman"/>
          <w:i/>
          <w:lang w:val="en-US"/>
        </w:rPr>
        <w:t>1</w:t>
      </w:r>
      <w:r>
        <w:rPr>
          <w:rFonts w:cs="Times New Roman" w:ascii="Times New Roman" w:hAnsi="Times New Roman"/>
          <w:i/>
          <w:lang w:val="uk-UA"/>
        </w:rPr>
        <w:t>/</w:t>
      </w:r>
      <w:r>
        <w:rPr>
          <w:rFonts w:cs="Times New Roman" w:ascii="Times New Roman" w:hAnsi="Times New Roman"/>
          <w:i/>
          <w:lang w:val="en-US"/>
        </w:rPr>
        <w:t>1</w:t>
      </w:r>
      <w:r>
        <w:rPr>
          <w:rFonts w:cs="Times New Roman" w:ascii="Times New Roman" w:hAnsi="Times New Roman"/>
          <w:i/>
          <w:lang w:val="uk-UA"/>
        </w:rPr>
        <w:t xml:space="preserve">0/24  </w:t>
      </w:r>
      <w:r>
        <w:rPr>
          <w:rFonts w:cs="Times New Roman" w:ascii="Times New Roman" w:hAnsi="Times New Roman"/>
          <w:i/>
        </w:rPr>
        <w:t xml:space="preserve">від </w:t>
      </w:r>
      <w:r>
        <w:rPr>
          <w:rFonts w:cs="Times New Roman" w:ascii="Times New Roman" w:hAnsi="Times New Roman"/>
          <w:i/>
          <w:lang w:val="en-US"/>
        </w:rPr>
        <w:t>21.10.2024</w:t>
      </w:r>
      <w:r>
        <w:rPr>
          <w:rFonts w:cs="Times New Roman" w:ascii="Times New Roman" w:hAnsi="Times New Roman"/>
          <w:i/>
        </w:rPr>
        <w:t xml:space="preserve"> р.</w:t>
      </w:r>
    </w:p>
    <w:p>
      <w:pPr>
        <w:pStyle w:val="Normal"/>
        <w:shd w:val="clear" w:color="auto" w:fill="FFFFFF"/>
        <w:spacing w:lineRule="auto" w:line="240" w:before="150" w:after="150"/>
        <w:ind w:left="450" w:right="450" w:hanging="0"/>
        <w:jc w:val="center"/>
        <w:rPr>
          <w:rFonts w:ascii="Times New Roman" w:hAnsi="Times New Roman" w:eastAsia="Times New Roman" w:cs="Times New Roman"/>
          <w:color w:val="333333"/>
          <w:sz w:val="24"/>
          <w:szCs w:val="24"/>
        </w:rPr>
      </w:pPr>
      <w:r>
        <w:rPr>
          <w:rFonts w:eastAsia="Times New Roman" w:cs="Times New Roman" w:ascii="Times New Roman" w:hAnsi="Times New Roman"/>
          <w:b/>
          <w:bCs/>
          <w:color w:val="333333"/>
          <w:sz w:val="24"/>
          <w:szCs w:val="24"/>
        </w:rPr>
        <w:t>ПОВІДОМЛЕННЯ</w:t>
        <w:br/>
        <w:t>про проведення (скликання) загальних зборів акціонерного товариства</w:t>
      </w:r>
    </w:p>
    <w:tbl>
      <w:tblPr>
        <w:tblStyle w:val="3"/>
        <w:tblW w:w="9570" w:type="dxa"/>
        <w:jc w:val="left"/>
        <w:tblInd w:w="0" w:type="dxa"/>
        <w:tblCellMar>
          <w:top w:w="0" w:type="dxa"/>
          <w:left w:w="7" w:type="dxa"/>
          <w:bottom w:w="0" w:type="dxa"/>
          <w:right w:w="7" w:type="dxa"/>
        </w:tblCellMar>
      </w:tblPr>
      <w:tblGrid>
        <w:gridCol w:w="2715"/>
        <w:gridCol w:w="6854"/>
      </w:tblGrid>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bookmarkStart w:id="1" w:name="n1280"/>
            <w:bookmarkEnd w:id="1"/>
            <w:r>
              <w:rPr>
                <w:rFonts w:eastAsia="Times New Roman" w:cs="Times New Roman" w:ascii="Times New Roman" w:hAnsi="Times New Roman"/>
              </w:rPr>
              <w:t>1</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eastAsia="Times New Roman" w:cs="Times New Roman" w:ascii="Times New Roman" w:hAnsi="Times New Roman"/>
              </w:rPr>
              <w:t>2</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Повне найменування</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both"/>
              <w:rPr>
                <w:b/>
                <w:b/>
                <w:bCs/>
              </w:rPr>
            </w:pPr>
            <w:r>
              <w:rPr>
                <w:rFonts w:cs="Times New Roman" w:ascii="Times New Roman" w:hAnsi="Times New Roman"/>
                <w:b/>
                <w:bCs/>
              </w:rPr>
              <w:t>Приватне акціонерне товариство «Новоолександрівське»</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Ідентифікаційний код юридичної особи</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both"/>
              <w:rPr>
                <w:rFonts w:ascii="Times New Roman" w:hAnsi="Times New Roman" w:eastAsia="Times New Roman" w:cs="Times New Roman"/>
              </w:rPr>
            </w:pPr>
            <w:r>
              <w:rPr>
                <w:rStyle w:val="Strong"/>
                <w:rFonts w:cs="Times New Roman" w:ascii="Times New Roman" w:hAnsi="Times New Roman"/>
                <w:b w:val="false"/>
                <w:bCs w:val="false"/>
                <w:shd w:fill="FFFFFF" w:val="clear"/>
                <w:lang w:eastAsia="ru-RU"/>
              </w:rPr>
              <w:t>00412263</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Місцезнаходження</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both"/>
              <w:rPr>
                <w:rFonts w:ascii="Times New Roman" w:hAnsi="Times New Roman" w:eastAsia="Times New Roman" w:cs="Times New Roman"/>
              </w:rPr>
            </w:pPr>
            <w:r>
              <w:rPr>
                <w:rFonts w:cs="Times New Roman" w:ascii="Times New Roman" w:hAnsi="Times New Roman"/>
                <w:iCs/>
              </w:rPr>
              <w:t>07623, Київська область, Згурівський   район, село  Нова Олександрівка, вулиця Українська, будинок 14</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Дата і час початку проведення загальних зборів</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both"/>
              <w:rPr>
                <w:rFonts w:ascii="Times New Roman" w:hAnsi="Times New Roman" w:eastAsia="Times New Roman" w:cs="Times New Roman"/>
              </w:rPr>
            </w:pPr>
            <w:r>
              <w:rPr>
                <w:rFonts w:eastAsia="Times New Roman" w:cs="Times New Roman" w:ascii="Times New Roman" w:hAnsi="Times New Roman"/>
                <w:lang w:val="en-US"/>
              </w:rPr>
              <w:t>12</w:t>
            </w:r>
            <w:r>
              <w:rPr>
                <w:rFonts w:eastAsia="Times New Roman" w:cs="Times New Roman" w:ascii="Times New Roman" w:hAnsi="Times New Roman"/>
              </w:rPr>
              <w:t>.</w:t>
            </w:r>
            <w:r>
              <w:rPr>
                <w:rFonts w:eastAsia="Times New Roman" w:cs="Times New Roman" w:ascii="Times New Roman" w:hAnsi="Times New Roman"/>
                <w:lang w:val="en-US"/>
              </w:rPr>
              <w:t>11</w:t>
            </w:r>
            <w:r>
              <w:rPr>
                <w:rFonts w:eastAsia="Times New Roman" w:cs="Times New Roman" w:ascii="Times New Roman" w:hAnsi="Times New Roman"/>
              </w:rPr>
              <w:t>.2024</w:t>
            </w:r>
          </w:p>
          <w:p>
            <w:pPr>
              <w:pStyle w:val="Normal"/>
              <w:spacing w:lineRule="auto" w:line="240" w:before="150" w:after="150"/>
              <w:jc w:val="both"/>
              <w:rPr>
                <w:rFonts w:ascii="Times New Roman" w:hAnsi="Times New Roman" w:eastAsia="Times New Roman" w:cs="Times New Roman"/>
              </w:rPr>
            </w:pPr>
            <w:r>
              <w:rPr>
                <w:rFonts w:ascii="Times New Roman" w:hAnsi="Times New Roman"/>
                <w:iCs/>
                <w:lang w:eastAsia="ru-RU"/>
              </w:rPr>
              <w:t xml:space="preserve">(дата завершення голосування </w:t>
            </w:r>
            <w:r>
              <w:rPr>
                <w:rFonts w:ascii="Times New Roman" w:hAnsi="Times New Roman"/>
                <w:iCs/>
                <w:lang w:val="en-US" w:eastAsia="ru-RU"/>
              </w:rPr>
              <w:t>12</w:t>
            </w:r>
            <w:r>
              <w:rPr>
                <w:rFonts w:ascii="Times New Roman" w:hAnsi="Times New Roman"/>
                <w:iCs/>
                <w:lang w:eastAsia="ru-RU"/>
              </w:rPr>
              <w:t>.</w:t>
            </w:r>
            <w:r>
              <w:rPr>
                <w:rFonts w:ascii="Times New Roman" w:hAnsi="Times New Roman"/>
                <w:iCs/>
                <w:lang w:val="en-US" w:eastAsia="ru-RU"/>
              </w:rPr>
              <w:t>11</w:t>
            </w:r>
            <w:r>
              <w:rPr>
                <w:rFonts w:ascii="Times New Roman" w:hAnsi="Times New Roman"/>
                <w:iCs/>
                <w:lang w:eastAsia="ru-RU"/>
              </w:rPr>
              <w:t>.2024</w:t>
            </w:r>
            <w:r>
              <w:rPr>
                <w:rFonts w:ascii="Times New Roman" w:hAnsi="Times New Roman"/>
                <w:iCs/>
                <w:lang w:val="ru-RU" w:eastAsia="ru-RU"/>
              </w:rPr>
              <w:t xml:space="preserve"> р.</w:t>
            </w:r>
            <w:r>
              <w:rPr>
                <w:rFonts w:ascii="Times New Roman" w:hAnsi="Times New Roman"/>
                <w:iCs/>
                <w:lang w:eastAsia="ru-RU"/>
              </w:rPr>
              <w:t xml:space="preserve"> о 18.00)</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Спосіб проведення загальних зборів</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rPr>
            </w:pPr>
            <w:r>
              <w:rPr>
                <w:rFonts w:eastAsia="Times New Roman" w:cs="Times New Roman" w:ascii="Times New Roman" w:hAnsi="Times New Roman"/>
              </w:rPr>
              <w:t>  </w:t>
            </w:r>
            <w:r>
              <w:rPr>
                <w:rFonts w:eastAsia="Times New Roman" w:cs="Times New Roman" w:ascii="Times New Roman" w:hAnsi="Times New Roman"/>
                <w:b/>
              </w:rPr>
              <w:t>опитування (дистанційні загальні збори)</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Час початку і закінчення реєстрації акціонерів для участі у загальних зборах</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Дата складення переліку акціонерів, які мають право на участь у загальних зборах</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ascii="Times New Roman" w:hAnsi="Times New Roman"/>
                <w:lang w:val="en-US"/>
              </w:rPr>
              <w:t>07</w:t>
            </w:r>
            <w:r>
              <w:rPr>
                <w:rFonts w:ascii="Times New Roman" w:hAnsi="Times New Roman"/>
              </w:rPr>
              <w:t>.</w:t>
            </w:r>
            <w:r>
              <w:rPr>
                <w:rFonts w:ascii="Times New Roman" w:hAnsi="Times New Roman"/>
                <w:lang w:val="en-US"/>
              </w:rPr>
              <w:t>11</w:t>
            </w:r>
            <w:r>
              <w:rPr>
                <w:rFonts w:ascii="Times New Roman" w:hAnsi="Times New Roman"/>
              </w:rPr>
              <w:t>.2024 р..</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Проект порядку денного / порядок денний</w:t>
            </w:r>
            <w:r>
              <w:rPr>
                <w:rFonts w:eastAsia="Times New Roman" w:cs="Times New Roman" w:ascii="Times New Roman" w:hAnsi="Times New Roman"/>
                <w:b/>
                <w:bCs/>
                <w:vertAlign w:val="superscript"/>
              </w:rPr>
              <w:t>-2</w:t>
            </w:r>
          </w:p>
        </w:tc>
        <w:tc>
          <w:tcPr>
            <w:tcW w:w="6854" w:type="dxa"/>
            <w:tcBorders>
              <w:top w:val="single" w:sz="6" w:space="0" w:color="000000"/>
              <w:left w:val="single" w:sz="6" w:space="0" w:color="000000"/>
              <w:bottom w:val="single" w:sz="6" w:space="0" w:color="000000"/>
              <w:right w:val="single" w:sz="6" w:space="0" w:color="000000"/>
            </w:tcBorders>
          </w:tcPr>
          <w:p>
            <w:pPr>
              <w:pStyle w:val="Normal"/>
              <w:widowControl/>
              <w:numPr>
                <w:ilvl w:val="0"/>
                <w:numId w:val="1"/>
              </w:numPr>
              <w:suppressAutoHyphens w:val="true"/>
              <w:bidi w:val="0"/>
              <w:spacing w:lineRule="auto" w:line="276" w:before="0" w:after="0"/>
              <w:ind w:left="340" w:right="113" w:hanging="340"/>
              <w:jc w:val="both"/>
              <w:rPr>
                <w:b w:val="false"/>
                <w:b w:val="false"/>
                <w:bCs w:val="false"/>
              </w:rPr>
            </w:pPr>
            <w:r>
              <w:rPr>
                <w:rFonts w:eastAsia="Calibri" w:ascii="Times New Roman" w:hAnsi="Times New Roman"/>
                <w:b w:val="false"/>
                <w:bCs w:val="false"/>
                <w:sz w:val="22"/>
                <w:szCs w:val="22"/>
                <w:highlight w:val="white"/>
              </w:rPr>
              <w:t>Про розгляд та затвердження рішення спільного засідання Наглядової ради та правління Товариства від</w:t>
            </w:r>
            <w:r>
              <w:rPr>
                <w:rFonts w:eastAsia="Calibri" w:ascii="Times New Roman" w:hAnsi="Times New Roman"/>
                <w:b w:val="false"/>
                <w:bCs w:val="false"/>
                <w:sz w:val="22"/>
                <w:szCs w:val="22"/>
                <w:highlight w:val="white"/>
                <w:lang w:val="ru-RU"/>
              </w:rPr>
              <w:t xml:space="preserve"> 28 кв</w:t>
            </w:r>
            <w:r>
              <w:rPr>
                <w:rFonts w:eastAsia="Calibri" w:ascii="Times New Roman" w:hAnsi="Times New Roman"/>
                <w:b w:val="false"/>
                <w:bCs w:val="false"/>
                <w:sz w:val="22"/>
                <w:szCs w:val="22"/>
                <w:highlight w:val="white"/>
                <w:lang w:val="uk-UA"/>
              </w:rPr>
              <w:t>ітня</w:t>
            </w:r>
            <w:r>
              <w:rPr>
                <w:rFonts w:eastAsia="Calibri" w:ascii="Times New Roman" w:hAnsi="Times New Roman"/>
                <w:b w:val="false"/>
                <w:bCs w:val="false"/>
                <w:color w:val="FF4000"/>
                <w:sz w:val="22"/>
                <w:szCs w:val="22"/>
                <w:highlight w:val="white"/>
                <w:lang w:val="ru-RU"/>
              </w:rPr>
              <w:t xml:space="preserve"> </w:t>
            </w:r>
            <w:r>
              <w:rPr>
                <w:rFonts w:eastAsia="Calibri" w:ascii="Times New Roman" w:hAnsi="Times New Roman"/>
                <w:b w:val="false"/>
                <w:bCs w:val="false"/>
                <w:color w:val="000000"/>
                <w:sz w:val="22"/>
                <w:szCs w:val="22"/>
                <w:highlight w:val="white"/>
                <w:lang w:val="ru-RU"/>
              </w:rPr>
              <w:t>2023</w:t>
            </w:r>
            <w:r>
              <w:rPr>
                <w:rFonts w:eastAsia="Calibri" w:ascii="Times New Roman" w:hAnsi="Times New Roman"/>
                <w:b w:val="false"/>
                <w:bCs w:val="false"/>
                <w:color w:val="FF4000"/>
                <w:sz w:val="22"/>
                <w:szCs w:val="22"/>
                <w:highlight w:val="white"/>
                <w:lang w:val="ru-RU"/>
              </w:rPr>
              <w:t xml:space="preserve">  </w:t>
            </w:r>
            <w:r>
              <w:rPr>
                <w:rFonts w:eastAsia="Calibri" w:ascii="Times New Roman" w:hAnsi="Times New Roman"/>
                <w:b w:val="false"/>
                <w:bCs w:val="false"/>
                <w:sz w:val="22"/>
                <w:szCs w:val="22"/>
                <w:highlight w:val="white"/>
              </w:rPr>
              <w:t xml:space="preserve">року, прийнятого на підставі висновку інституту садівництва (Акту обстеження) .  </w:t>
            </w:r>
          </w:p>
          <w:p>
            <w:pPr>
              <w:pStyle w:val="Normal"/>
              <w:widowControl/>
              <w:numPr>
                <w:ilvl w:val="0"/>
                <w:numId w:val="1"/>
              </w:numPr>
              <w:suppressAutoHyphens w:val="true"/>
              <w:bidi w:val="0"/>
              <w:spacing w:lineRule="auto" w:line="276" w:before="0" w:after="0"/>
              <w:ind w:left="340" w:right="113" w:hanging="340"/>
              <w:jc w:val="both"/>
              <w:rPr>
                <w:rFonts w:eastAsia="Calibri"/>
                <w:b w:val="false"/>
                <w:b w:val="false"/>
                <w:bCs w:val="false"/>
                <w:sz w:val="22"/>
                <w:szCs w:val="22"/>
              </w:rPr>
            </w:pPr>
            <w:r>
              <w:rPr>
                <w:rFonts w:eastAsia="Calibri" w:ascii="Times New Roman" w:hAnsi="Times New Roman"/>
                <w:b w:val="false"/>
                <w:bCs w:val="false"/>
                <w:sz w:val="22"/>
                <w:szCs w:val="22"/>
                <w:highlight w:val="white"/>
              </w:rPr>
              <w:t>Про продаж земельних ділянок під будівлями, які належать іншим підприємствам  (Миронівський хлібопродукт, ТОВ “АГРО-С” та інші).</w:t>
            </w:r>
          </w:p>
          <w:p>
            <w:pPr>
              <w:pStyle w:val="Normal"/>
              <w:widowControl/>
              <w:numPr>
                <w:ilvl w:val="0"/>
                <w:numId w:val="1"/>
              </w:numPr>
              <w:suppressAutoHyphens w:val="true"/>
              <w:bidi w:val="0"/>
              <w:spacing w:lineRule="auto" w:line="276" w:before="0" w:after="0"/>
              <w:ind w:left="340" w:right="113" w:hanging="340"/>
              <w:jc w:val="both"/>
              <w:rPr>
                <w:rFonts w:eastAsia="Calibri"/>
                <w:b w:val="false"/>
                <w:b w:val="false"/>
                <w:bCs w:val="false"/>
                <w:sz w:val="22"/>
                <w:szCs w:val="22"/>
              </w:rPr>
            </w:pPr>
            <w:r>
              <w:rPr>
                <w:rFonts w:eastAsia="Calibri" w:ascii="Times New Roman" w:hAnsi="Times New Roman"/>
                <w:b w:val="false"/>
                <w:bCs w:val="false"/>
                <w:sz w:val="22"/>
                <w:szCs w:val="22"/>
                <w:highlight w:val="white"/>
              </w:rPr>
              <w:t xml:space="preserve">Про розгляд та затвердження пропозиції, щодо необхідності отримання кредитних ресурсів  в сумі 6 мільйонів гривень для здійснення програми розкорчовки садів. </w:t>
            </w:r>
          </w:p>
          <w:p>
            <w:pPr>
              <w:pStyle w:val="Normal"/>
              <w:widowControl/>
              <w:numPr>
                <w:ilvl w:val="0"/>
                <w:numId w:val="1"/>
              </w:numPr>
              <w:suppressAutoHyphens w:val="true"/>
              <w:bidi w:val="0"/>
              <w:spacing w:lineRule="auto" w:line="276" w:before="0" w:after="0"/>
              <w:ind w:left="340" w:right="113" w:hanging="340"/>
              <w:jc w:val="both"/>
              <w:rPr>
                <w:rFonts w:eastAsia="Calibri"/>
                <w:b w:val="false"/>
                <w:b w:val="false"/>
                <w:bCs w:val="false"/>
                <w:sz w:val="22"/>
                <w:szCs w:val="22"/>
              </w:rPr>
            </w:pPr>
            <w:r>
              <w:rPr>
                <w:rFonts w:eastAsia="Calibri" w:ascii="Times New Roman" w:hAnsi="Times New Roman"/>
                <w:b w:val="false"/>
                <w:bCs w:val="false"/>
                <w:sz w:val="22"/>
                <w:szCs w:val="22"/>
                <w:highlight w:val="white"/>
              </w:rPr>
              <w:t>Про розгляд та затвердження Договору-доручення щодо пошуку та закупівлі техніки для розкорчовки саду.</w:t>
            </w:r>
          </w:p>
          <w:p>
            <w:pPr>
              <w:pStyle w:val="Normal"/>
              <w:spacing w:lineRule="auto" w:line="240" w:before="0" w:after="0"/>
              <w:ind w:firstLine="426"/>
              <w:jc w:val="both"/>
              <w:rPr>
                <w:rFonts w:ascii="Times New Roman" w:hAnsi="Times New Roman"/>
                <w:b w:val="false"/>
                <w:b w:val="false"/>
                <w:bCs w:val="false"/>
              </w:rPr>
            </w:pPr>
            <w:r>
              <w:rPr>
                <w:rFonts w:ascii="Times New Roman" w:hAnsi="Times New Roman"/>
                <w:b w:val="false"/>
                <w:bCs w:val="false"/>
              </w:rPr>
            </w:r>
          </w:p>
          <w:p>
            <w:pPr>
              <w:pStyle w:val="Normal"/>
              <w:spacing w:lineRule="auto" w:line="240" w:before="0" w:after="0"/>
              <w:ind w:firstLine="426"/>
              <w:jc w:val="both"/>
              <w:rPr>
                <w:color w:val="000000"/>
              </w:rPr>
            </w:pPr>
            <w:r>
              <w:rPr>
                <w:rFonts w:ascii="Times New Roman" w:hAnsi="Times New Roman"/>
                <w:color w:val="000000"/>
              </w:rPr>
              <w:t xml:space="preserve">Наявність взаємозв’язку між питаннями </w:t>
            </w:r>
            <w:r>
              <w:rPr>
                <w:rFonts w:ascii="Times New Roman" w:hAnsi="Times New Roman"/>
                <w:color w:val="000000"/>
                <w:lang w:eastAsia="ru-RU"/>
              </w:rPr>
              <w:t xml:space="preserve">включеними до проекту порядку денного </w:t>
            </w:r>
            <w:r>
              <w:rPr>
                <w:rFonts w:ascii="Times New Roman" w:hAnsi="Times New Roman"/>
                <w:color w:val="000000"/>
              </w:rPr>
              <w:t xml:space="preserve">дистанційних </w:t>
            </w:r>
            <w:r>
              <w:rPr>
                <w:rFonts w:eastAsia="Calibri" w:cs="等线" w:ascii="Times New Roman" w:hAnsi="Times New Roman" w:cstheme="minorBidi" w:eastAsiaTheme="minorHAnsi"/>
                <w:color w:val="000000"/>
                <w:kern w:val="0"/>
                <w:sz w:val="22"/>
                <w:szCs w:val="22"/>
                <w:lang w:val="uk-UA" w:eastAsia="en-US" w:bidi="ar-SA"/>
              </w:rPr>
              <w:t>Позачергових</w:t>
            </w:r>
            <w:r>
              <w:rPr>
                <w:rFonts w:ascii="Times New Roman" w:hAnsi="Times New Roman"/>
                <w:color w:val="000000"/>
              </w:rPr>
              <w:t xml:space="preserve"> Загальних зборів акціонерів Товариства:</w:t>
            </w:r>
          </w:p>
          <w:p>
            <w:pPr>
              <w:pStyle w:val="Rvps2"/>
              <w:numPr>
                <w:ilvl w:val="0"/>
                <w:numId w:val="2"/>
              </w:numPr>
              <w:shd w:val="clear" w:fill="FFFFFF"/>
              <w:spacing w:lineRule="auto" w:line="240" w:before="0" w:after="150"/>
              <w:ind w:left="0" w:firstLine="426"/>
              <w:jc w:val="both"/>
              <w:rPr>
                <w:color w:val="000000"/>
              </w:rPr>
            </w:pPr>
            <w:r>
              <w:rPr>
                <w:bCs/>
                <w:color w:val="000000"/>
                <w:sz w:val="22"/>
                <w:szCs w:val="22"/>
                <w:highlight w:val="white"/>
                <w:lang w:val="uk-UA"/>
              </w:rPr>
              <w:t>Питання вказаного порядку денного не мають прямого взаємозв’язку. Неприйняття рішення по будь-якому з питань не виключає можливість прийняття наступного рішення та не впливає на підрахунок голосів.</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Проекти рішень (крім кумулятивного голосування) з кожного питання, включеного до проекту порядку денного</w:t>
            </w:r>
          </w:p>
        </w:tc>
        <w:tc>
          <w:tcPr>
            <w:tcW w:w="6854" w:type="dxa"/>
            <w:tcBorders>
              <w:top w:val="single" w:sz="6" w:space="0" w:color="000000"/>
              <w:left w:val="single" w:sz="6" w:space="0" w:color="000000"/>
              <w:bottom w:val="single" w:sz="6" w:space="0" w:color="000000"/>
              <w:right w:val="single" w:sz="6" w:space="0" w:color="000000"/>
            </w:tcBorders>
          </w:tcPr>
          <w:tbl>
            <w:tblPr>
              <w:tblStyle w:val="3"/>
              <w:tblW w:w="6810" w:type="dxa"/>
              <w:jc w:val="left"/>
              <w:tblInd w:w="0" w:type="dxa"/>
              <w:tblCellMar>
                <w:top w:w="0" w:type="dxa"/>
                <w:left w:w="108" w:type="dxa"/>
                <w:bottom w:w="0" w:type="dxa"/>
                <w:right w:w="108" w:type="dxa"/>
              </w:tblCellMar>
            </w:tblPr>
            <w:tblGrid>
              <w:gridCol w:w="561"/>
              <w:gridCol w:w="6248"/>
            </w:tblGrid>
            <w:tr>
              <w:trPr/>
              <w:tc>
                <w:tcPr>
                  <w:tcW w:w="561" w:type="dxa"/>
                  <w:tcBorders>
                    <w:top w:val="single" w:sz="4" w:space="0" w:color="000000"/>
                    <w:left w:val="single" w:sz="4" w:space="0" w:color="000000"/>
                    <w:bottom w:val="single" w:sz="4" w:space="0" w:color="000000"/>
                    <w:right w:val="single" w:sz="4" w:space="0" w:color="000000"/>
                  </w:tcBorders>
                </w:tcPr>
                <w:p>
                  <w:pPr>
                    <w:pStyle w:val="Normal"/>
                    <w:numPr>
                      <w:ilvl w:val="0"/>
                      <w:numId w:val="3"/>
                    </w:numPr>
                    <w:tabs>
                      <w:tab w:val="clear" w:pos="720"/>
                      <w:tab w:val="left" w:pos="0" w:leader="none"/>
                    </w:tabs>
                    <w:snapToGrid w:val="false"/>
                    <w:spacing w:lineRule="auto" w:line="276" w:before="0" w:after="160"/>
                    <w:jc w:val="both"/>
                    <w:rPr>
                      <w:rFonts w:eastAsia="Calibri"/>
                      <w:sz w:val="22"/>
                      <w:szCs w:val="22"/>
                    </w:rPr>
                  </w:pPr>
                  <w:r>
                    <w:rPr>
                      <w:rFonts w:eastAsia="Calibri"/>
                      <w:sz w:val="22"/>
                      <w:szCs w:val="22"/>
                    </w:rPr>
                  </w:r>
                </w:p>
              </w:tc>
              <w:tc>
                <w:tcPr>
                  <w:tcW w:w="624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ind w:left="0" w:right="0" w:hanging="0"/>
                    <w:jc w:val="left"/>
                    <w:rPr/>
                  </w:pPr>
                  <w:r>
                    <w:rPr>
                      <w:rFonts w:eastAsia="Calibri"/>
                      <w:b/>
                      <w:sz w:val="22"/>
                      <w:szCs w:val="22"/>
                      <w:highlight w:val="white"/>
                    </w:rPr>
                    <w:t>Про розгляд та затвердження рішення спільного засідання Наглядової ради та правління Товариства від</w:t>
                  </w:r>
                  <w:r>
                    <w:rPr>
                      <w:rFonts w:eastAsia="Calibri"/>
                      <w:b/>
                      <w:sz w:val="22"/>
                      <w:szCs w:val="22"/>
                      <w:highlight w:val="white"/>
                      <w:lang w:val="ru-RU"/>
                    </w:rPr>
                    <w:t xml:space="preserve"> 28 кв</w:t>
                  </w:r>
                  <w:r>
                    <w:rPr>
                      <w:rFonts w:eastAsia="Calibri"/>
                      <w:b/>
                      <w:sz w:val="22"/>
                      <w:szCs w:val="22"/>
                      <w:highlight w:val="white"/>
                      <w:lang w:val="uk-UA"/>
                    </w:rPr>
                    <w:t>ітня</w:t>
                  </w:r>
                  <w:r>
                    <w:rPr>
                      <w:rFonts w:eastAsia="Calibri"/>
                      <w:b/>
                      <w:color w:val="FF4000"/>
                      <w:sz w:val="22"/>
                      <w:szCs w:val="22"/>
                      <w:highlight w:val="white"/>
                      <w:lang w:val="ru-RU"/>
                    </w:rPr>
                    <w:t xml:space="preserve"> </w:t>
                  </w:r>
                  <w:r>
                    <w:rPr>
                      <w:rFonts w:eastAsia="Calibri"/>
                      <w:b/>
                      <w:color w:val="000000"/>
                      <w:sz w:val="22"/>
                      <w:szCs w:val="22"/>
                      <w:highlight w:val="white"/>
                      <w:lang w:val="ru-RU"/>
                    </w:rPr>
                    <w:t>2023</w:t>
                  </w:r>
                  <w:r>
                    <w:rPr>
                      <w:rFonts w:eastAsia="Calibri"/>
                      <w:b/>
                      <w:color w:val="FF4000"/>
                      <w:sz w:val="22"/>
                      <w:szCs w:val="22"/>
                      <w:highlight w:val="white"/>
                      <w:lang w:val="ru-RU"/>
                    </w:rPr>
                    <w:t xml:space="preserve">  </w:t>
                  </w:r>
                  <w:r>
                    <w:rPr>
                      <w:rFonts w:eastAsia="Calibri"/>
                      <w:b/>
                      <w:sz w:val="22"/>
                      <w:szCs w:val="22"/>
                      <w:highlight w:val="white"/>
                    </w:rPr>
                    <w:t>року, прийнятого на підставі висновку інституту садівництва (Акту обстеження) .</w:t>
                  </w:r>
                </w:p>
                <w:p>
                  <w:pPr>
                    <w:pStyle w:val="Normal"/>
                    <w:jc w:val="both"/>
                    <w:rPr>
                      <w:i/>
                      <w:i/>
                      <w:sz w:val="22"/>
                      <w:szCs w:val="22"/>
                      <w:u w:val="single"/>
                    </w:rPr>
                  </w:pPr>
                  <w:r>
                    <w:rPr>
                      <w:i/>
                      <w:sz w:val="22"/>
                      <w:szCs w:val="22"/>
                      <w:u w:val="single"/>
                    </w:rPr>
                    <w:t>Проект рішення:</w:t>
                  </w:r>
                </w:p>
                <w:p>
                  <w:pPr>
                    <w:pStyle w:val="Normal"/>
                    <w:spacing w:before="0" w:after="160"/>
                    <w:jc w:val="both"/>
                    <w:rPr/>
                  </w:pPr>
                  <w:r>
                    <w:rPr>
                      <w:sz w:val="22"/>
                      <w:szCs w:val="22"/>
                    </w:rPr>
                    <w:t xml:space="preserve">1. </w:t>
                  </w:r>
                  <w:r>
                    <w:rPr>
                      <w:rFonts w:eastAsia="Calibri"/>
                      <w:b w:val="false"/>
                      <w:bCs w:val="false"/>
                      <w:sz w:val="22"/>
                      <w:szCs w:val="22"/>
                      <w:highlight w:val="white"/>
                    </w:rPr>
                    <w:t xml:space="preserve">Затвердити рішення спільного засідання Наглядової ради та правління Товариства від </w:t>
                  </w:r>
                  <w:r>
                    <w:rPr>
                      <w:rFonts w:eastAsia="Calibri"/>
                      <w:b w:val="false"/>
                      <w:bCs w:val="false"/>
                      <w:sz w:val="22"/>
                      <w:szCs w:val="22"/>
                      <w:highlight w:val="white"/>
                      <w:lang w:val="ru-RU"/>
                    </w:rPr>
                    <w:t>28 кв</w:t>
                  </w:r>
                  <w:r>
                    <w:rPr>
                      <w:rFonts w:eastAsia="Calibri"/>
                      <w:b w:val="false"/>
                      <w:bCs w:val="false"/>
                      <w:sz w:val="22"/>
                      <w:szCs w:val="22"/>
                      <w:highlight w:val="white"/>
                      <w:lang w:val="uk-UA"/>
                    </w:rPr>
                    <w:t>ітня</w:t>
                  </w:r>
                  <w:r>
                    <w:rPr>
                      <w:rFonts w:eastAsia="Calibri"/>
                      <w:b w:val="false"/>
                      <w:bCs w:val="false"/>
                      <w:color w:val="FF4000"/>
                      <w:sz w:val="22"/>
                      <w:szCs w:val="22"/>
                      <w:highlight w:val="white"/>
                      <w:lang w:val="ru-RU"/>
                    </w:rPr>
                    <w:t xml:space="preserve"> </w:t>
                  </w:r>
                  <w:r>
                    <w:rPr>
                      <w:rFonts w:eastAsia="Calibri"/>
                      <w:b w:val="false"/>
                      <w:bCs w:val="false"/>
                      <w:color w:val="000000"/>
                      <w:sz w:val="22"/>
                      <w:szCs w:val="22"/>
                      <w:highlight w:val="white"/>
                      <w:lang w:val="ru-RU"/>
                    </w:rPr>
                    <w:t>2023</w:t>
                  </w:r>
                  <w:r>
                    <w:rPr>
                      <w:rFonts w:eastAsia="Calibri"/>
                      <w:b w:val="false"/>
                      <w:bCs w:val="false"/>
                      <w:color w:val="FF4000"/>
                      <w:sz w:val="22"/>
                      <w:szCs w:val="22"/>
                      <w:highlight w:val="white"/>
                      <w:lang w:val="ru-RU"/>
                    </w:rPr>
                    <w:t xml:space="preserve">  </w:t>
                  </w:r>
                  <w:r>
                    <w:rPr>
                      <w:rFonts w:eastAsia="Calibri"/>
                      <w:b w:val="false"/>
                      <w:bCs w:val="false"/>
                      <w:sz w:val="22"/>
                      <w:szCs w:val="22"/>
                      <w:highlight w:val="white"/>
                    </w:rPr>
                    <w:t>року, прийнятого на підставі висновку інституту садівництва (Акту обстеження) щодо стратегічного питання: розкорчування садів, як таких, що вичерпали свій біологічний вік, а господарська діяльність по вирощуванню плодів — збиткова</w:t>
                  </w:r>
                </w:p>
              </w:tc>
            </w:tr>
            <w:tr>
              <w:trPr/>
              <w:tc>
                <w:tcPr>
                  <w:tcW w:w="561" w:type="dxa"/>
                  <w:tcBorders>
                    <w:top w:val="single" w:sz="4" w:space="0" w:color="000000"/>
                    <w:left w:val="single" w:sz="4" w:space="0" w:color="000000"/>
                    <w:bottom w:val="single" w:sz="4" w:space="0" w:color="000000"/>
                    <w:right w:val="single" w:sz="4" w:space="0" w:color="000000"/>
                  </w:tcBorders>
                </w:tcPr>
                <w:p>
                  <w:pPr>
                    <w:pStyle w:val="Normal"/>
                    <w:numPr>
                      <w:ilvl w:val="0"/>
                      <w:numId w:val="3"/>
                    </w:numPr>
                    <w:tabs>
                      <w:tab w:val="clear" w:pos="720"/>
                      <w:tab w:val="left" w:pos="0" w:leader="none"/>
                      <w:tab w:val="left" w:pos="264" w:leader="none"/>
                    </w:tabs>
                    <w:snapToGrid w:val="false"/>
                    <w:spacing w:before="0" w:after="160"/>
                    <w:jc w:val="both"/>
                    <w:rPr>
                      <w:rFonts w:ascii="Calibri" w:hAnsi="Calibri" w:eastAsia="Calibri" w:cs="Calibri"/>
                      <w:sz w:val="22"/>
                      <w:szCs w:val="22"/>
                    </w:rPr>
                  </w:pPr>
                  <w:r>
                    <w:rPr>
                      <w:rFonts w:eastAsia="Calibri" w:cs="Calibri"/>
                      <w:sz w:val="22"/>
                      <w:szCs w:val="22"/>
                    </w:rPr>
                  </w:r>
                </w:p>
              </w:tc>
              <w:tc>
                <w:tcPr>
                  <w:tcW w:w="6248" w:type="dxa"/>
                  <w:tcBorders>
                    <w:top w:val="single" w:sz="4" w:space="0" w:color="000000"/>
                    <w:left w:val="single" w:sz="4" w:space="0" w:color="000000"/>
                    <w:bottom w:val="single" w:sz="4" w:space="0" w:color="000000"/>
                    <w:right w:val="single" w:sz="4" w:space="0" w:color="000000"/>
                  </w:tcBorders>
                </w:tcPr>
                <w:p>
                  <w:pPr>
                    <w:pStyle w:val="Normal"/>
                    <w:widowControl/>
                    <w:tabs>
                      <w:tab w:val="clear" w:pos="720"/>
                      <w:tab w:val="left" w:pos="264" w:leader="none"/>
                      <w:tab w:val="left" w:pos="675" w:leader="none"/>
                    </w:tabs>
                    <w:suppressAutoHyphens w:val="true"/>
                    <w:bidi w:val="0"/>
                    <w:ind w:left="113" w:right="0" w:hanging="0"/>
                    <w:jc w:val="left"/>
                    <w:rPr>
                      <w:rFonts w:eastAsia="Calibri"/>
                      <w:b/>
                      <w:b/>
                      <w:sz w:val="22"/>
                      <w:szCs w:val="22"/>
                    </w:rPr>
                  </w:pPr>
                  <w:r>
                    <w:rPr>
                      <w:rFonts w:eastAsia="Calibri"/>
                      <w:b/>
                      <w:sz w:val="22"/>
                      <w:szCs w:val="22"/>
                      <w:highlight w:val="white"/>
                    </w:rPr>
                    <w:t>Про продаж земельних ділянок під будівлями, які належать іншим підприємствам  (Миронівський хлібопродукт, ТОВ  “АГРО-С” та інші).</w:t>
                  </w:r>
                </w:p>
                <w:p>
                  <w:pPr>
                    <w:pStyle w:val="Normal"/>
                    <w:widowControl w:val="false"/>
                    <w:shd w:val="clear" w:fill="FFFFFF"/>
                    <w:spacing w:lineRule="auto" w:line="288"/>
                    <w:jc w:val="both"/>
                    <w:rPr>
                      <w:i/>
                      <w:i/>
                      <w:sz w:val="22"/>
                      <w:szCs w:val="22"/>
                      <w:u w:val="single"/>
                    </w:rPr>
                  </w:pPr>
                  <w:r>
                    <w:rPr>
                      <w:i/>
                      <w:sz w:val="22"/>
                      <w:szCs w:val="22"/>
                      <w:u w:val="single"/>
                    </w:rPr>
                    <w:t>Проект рішення:</w:t>
                  </w:r>
                </w:p>
                <w:p>
                  <w:pPr>
                    <w:pStyle w:val="Normal"/>
                    <w:spacing w:before="0" w:after="160"/>
                    <w:jc w:val="both"/>
                    <w:rPr/>
                  </w:pPr>
                  <w:r>
                    <w:rPr>
                      <w:sz w:val="22"/>
                      <w:szCs w:val="22"/>
                    </w:rPr>
                    <w:t xml:space="preserve">2.  </w:t>
                  </w:r>
                  <w:r>
                    <w:rPr>
                      <w:rFonts w:eastAsia="Calibri"/>
                      <w:sz w:val="22"/>
                      <w:szCs w:val="22"/>
                      <w:highlight w:val="white"/>
                    </w:rPr>
                    <w:t>У зв’язку  із необхідністю фінансування програми розкорчовки садів з</w:t>
                  </w:r>
                  <w:r>
                    <w:rPr>
                      <w:sz w:val="22"/>
                      <w:szCs w:val="22"/>
                      <w:highlight w:val="white"/>
                    </w:rPr>
                    <w:t>обов’язати генерального директора товариства виступити з пропозиціями щодо викупу земельних ділянок під будівлями, які належать іншим юридичним особам (Миронівський хлібопродукт, ТОВ  “АГРО-С” та інші) та укласти відповідні договори після розгляду  на засіданні Наглядової ради.</w:t>
                  </w:r>
                </w:p>
              </w:tc>
            </w:tr>
            <w:tr>
              <w:trPr/>
              <w:tc>
                <w:tcPr>
                  <w:tcW w:w="561" w:type="dxa"/>
                  <w:tcBorders>
                    <w:top w:val="single" w:sz="4" w:space="0" w:color="000000"/>
                    <w:left w:val="single" w:sz="4" w:space="0" w:color="000000"/>
                    <w:bottom w:val="single" w:sz="4" w:space="0" w:color="000000"/>
                    <w:right w:val="single" w:sz="4" w:space="0" w:color="000000"/>
                  </w:tcBorders>
                </w:tcPr>
                <w:p>
                  <w:pPr>
                    <w:pStyle w:val="Normal"/>
                    <w:numPr>
                      <w:ilvl w:val="0"/>
                      <w:numId w:val="3"/>
                    </w:numPr>
                    <w:tabs>
                      <w:tab w:val="clear" w:pos="720"/>
                      <w:tab w:val="left" w:pos="0" w:leader="none"/>
                    </w:tabs>
                    <w:snapToGrid w:val="false"/>
                    <w:spacing w:lineRule="auto" w:line="276" w:before="0" w:after="160"/>
                    <w:jc w:val="both"/>
                    <w:rPr>
                      <w:rFonts w:ascii="Calibri" w:hAnsi="Calibri" w:eastAsia="Calibri" w:cs="Calibri"/>
                      <w:b/>
                      <w:b/>
                      <w:sz w:val="22"/>
                      <w:szCs w:val="22"/>
                    </w:rPr>
                  </w:pPr>
                  <w:r>
                    <w:rPr>
                      <w:rFonts w:eastAsia="Calibri" w:cs="Calibri"/>
                      <w:b/>
                      <w:sz w:val="22"/>
                      <w:szCs w:val="22"/>
                    </w:rPr>
                  </w:r>
                </w:p>
              </w:tc>
              <w:tc>
                <w:tcPr>
                  <w:tcW w:w="6248"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bidi w:val="0"/>
                    <w:ind w:left="113" w:right="0" w:hanging="0"/>
                    <w:jc w:val="both"/>
                    <w:rPr>
                      <w:rFonts w:eastAsia="Calibri"/>
                      <w:b/>
                      <w:b/>
                      <w:sz w:val="22"/>
                      <w:szCs w:val="22"/>
                    </w:rPr>
                  </w:pPr>
                  <w:r>
                    <w:rPr>
                      <w:rFonts w:eastAsia="Calibri"/>
                      <w:b/>
                      <w:sz w:val="22"/>
                      <w:szCs w:val="22"/>
                      <w:highlight w:val="white"/>
                    </w:rPr>
                    <w:t xml:space="preserve">Про розгляд та затвердження пропозиції, щодо необхідності отримання кредитних ресурсів  в сумі 6 мільйонів гривень для здійснення програми розкорчовки садів </w:t>
                  </w:r>
                </w:p>
                <w:p>
                  <w:pPr>
                    <w:pStyle w:val="Normal"/>
                    <w:jc w:val="both"/>
                    <w:rPr>
                      <w:i/>
                      <w:i/>
                      <w:sz w:val="22"/>
                      <w:szCs w:val="22"/>
                      <w:u w:val="single"/>
                    </w:rPr>
                  </w:pPr>
                  <w:r>
                    <w:rPr>
                      <w:i/>
                      <w:sz w:val="22"/>
                      <w:szCs w:val="22"/>
                      <w:u w:val="single"/>
                    </w:rPr>
                    <w:t>Проект рішення:</w:t>
                  </w:r>
                </w:p>
                <w:p>
                  <w:pPr>
                    <w:pStyle w:val="Normal"/>
                    <w:jc w:val="both"/>
                    <w:rPr/>
                  </w:pPr>
                  <w:r>
                    <w:rPr>
                      <w:sz w:val="22"/>
                      <w:szCs w:val="22"/>
                      <w:highlight w:val="white"/>
                    </w:rPr>
                    <w:t xml:space="preserve">3.1. Затвердити рішення  </w:t>
                  </w:r>
                  <w:r>
                    <w:rPr>
                      <w:rFonts w:eastAsia="Calibri"/>
                      <w:b w:val="false"/>
                      <w:bCs w:val="false"/>
                      <w:sz w:val="22"/>
                      <w:szCs w:val="22"/>
                      <w:highlight w:val="white"/>
                    </w:rPr>
                    <w:t>щодо необхідності отримання кредитних ресурсів  в сумі 6 мільйонів гривень для здійснення програми розкорчовки садів</w:t>
                  </w:r>
                </w:p>
                <w:p>
                  <w:pPr>
                    <w:pStyle w:val="Normal"/>
                    <w:spacing w:before="0" w:after="160"/>
                    <w:jc w:val="both"/>
                    <w:rPr>
                      <w:rFonts w:eastAsia="Calibri"/>
                      <w:b w:val="false"/>
                      <w:b w:val="false"/>
                      <w:sz w:val="22"/>
                      <w:szCs w:val="22"/>
                    </w:rPr>
                  </w:pPr>
                  <w:r>
                    <w:rPr>
                      <w:rFonts w:eastAsia="Calibri"/>
                      <w:b w:val="false"/>
                      <w:bCs w:val="false"/>
                      <w:sz w:val="22"/>
                      <w:szCs w:val="22"/>
                      <w:highlight w:val="white"/>
                    </w:rPr>
                    <w:t>3.2. Доручити генеральному директору Товариства Аллі Володимирівні Степурі підписати Договір позики, після детального обговорення тексту Договору на засіданні Наглядової ради</w:t>
                  </w:r>
                </w:p>
              </w:tc>
            </w:tr>
            <w:tr>
              <w:trPr/>
              <w:tc>
                <w:tcPr>
                  <w:tcW w:w="561" w:type="dxa"/>
                  <w:tcBorders>
                    <w:top w:val="single" w:sz="4" w:space="0" w:color="000000"/>
                    <w:left w:val="single" w:sz="4" w:space="0" w:color="000000"/>
                    <w:bottom w:val="single" w:sz="4" w:space="0" w:color="000000"/>
                    <w:right w:val="single" w:sz="4" w:space="0" w:color="000000"/>
                  </w:tcBorders>
                </w:tcPr>
                <w:p>
                  <w:pPr>
                    <w:pStyle w:val="Normal"/>
                    <w:numPr>
                      <w:ilvl w:val="0"/>
                      <w:numId w:val="3"/>
                    </w:numPr>
                    <w:tabs>
                      <w:tab w:val="clear" w:pos="720"/>
                      <w:tab w:val="left" w:pos="0" w:leader="none"/>
                    </w:tabs>
                    <w:snapToGrid w:val="false"/>
                    <w:spacing w:before="0" w:after="160"/>
                    <w:rPr>
                      <w:rFonts w:ascii="Calibri" w:hAnsi="Calibri" w:eastAsia="Calibri" w:cs="Calibri"/>
                      <w:b/>
                      <w:b/>
                      <w:sz w:val="22"/>
                      <w:szCs w:val="22"/>
                      <w:lang w:val="ru-RU"/>
                    </w:rPr>
                  </w:pPr>
                  <w:r>
                    <w:rPr>
                      <w:rFonts w:eastAsia="Calibri" w:cs="Calibri"/>
                      <w:b/>
                      <w:sz w:val="22"/>
                      <w:szCs w:val="22"/>
                      <w:lang w:val="ru-RU"/>
                    </w:rPr>
                  </w:r>
                </w:p>
              </w:tc>
              <w:tc>
                <w:tcPr>
                  <w:tcW w:w="6248" w:type="dxa"/>
                  <w:tcBorders>
                    <w:top w:val="single" w:sz="4" w:space="0" w:color="000000"/>
                    <w:left w:val="single" w:sz="4" w:space="0" w:color="000000"/>
                    <w:bottom w:val="single" w:sz="4" w:space="0" w:color="000000"/>
                    <w:right w:val="single" w:sz="4" w:space="0" w:color="000000"/>
                  </w:tcBorders>
                </w:tcPr>
                <w:p>
                  <w:pPr>
                    <w:pStyle w:val="Normal"/>
                    <w:jc w:val="both"/>
                    <w:rPr>
                      <w:rFonts w:eastAsia="Calibri"/>
                      <w:b/>
                      <w:b/>
                      <w:sz w:val="22"/>
                      <w:szCs w:val="22"/>
                    </w:rPr>
                  </w:pPr>
                  <w:r>
                    <w:rPr>
                      <w:rFonts w:eastAsia="Calibri"/>
                      <w:b/>
                      <w:sz w:val="22"/>
                      <w:szCs w:val="22"/>
                      <w:highlight w:val="white"/>
                    </w:rPr>
                    <w:t>Про розгляд та затвердження Договору-доручення щодо пошуку та закупівлі техніки для розкорчовки саду.</w:t>
                  </w:r>
                </w:p>
                <w:p>
                  <w:pPr>
                    <w:pStyle w:val="Normal"/>
                    <w:jc w:val="both"/>
                    <w:rPr>
                      <w:i/>
                      <w:i/>
                      <w:sz w:val="22"/>
                      <w:szCs w:val="22"/>
                      <w:u w:val="single"/>
                    </w:rPr>
                  </w:pPr>
                  <w:r>
                    <w:rPr>
                      <w:i/>
                      <w:sz w:val="22"/>
                      <w:szCs w:val="22"/>
                      <w:u w:val="single"/>
                    </w:rPr>
                    <w:t>Проект рішення:</w:t>
                  </w:r>
                </w:p>
                <w:p>
                  <w:pPr>
                    <w:pStyle w:val="Normal"/>
                    <w:spacing w:before="0" w:after="160"/>
                    <w:jc w:val="both"/>
                    <w:rPr/>
                  </w:pPr>
                  <w:r>
                    <w:rPr>
                      <w:b w:val="false"/>
                      <w:bCs w:val="false"/>
                      <w:sz w:val="22"/>
                      <w:szCs w:val="22"/>
                      <w:highlight w:val="white"/>
                    </w:rPr>
                    <w:t xml:space="preserve">1. Затвердити </w:t>
                  </w:r>
                  <w:r>
                    <w:rPr>
                      <w:rFonts w:eastAsia="Calibri"/>
                      <w:b w:val="false"/>
                      <w:bCs w:val="false"/>
                      <w:sz w:val="22"/>
                      <w:szCs w:val="22"/>
                      <w:highlight w:val="white"/>
                    </w:rPr>
                    <w:t xml:space="preserve">Договір-доручення щодо пошуку та закупівлі техніки для розкорчовки саду (потужний трактор, щепорубальне обладнання, екскаватор, </w:t>
                  </w:r>
                  <w:r>
                    <w:rPr>
                      <w:rFonts w:eastAsia="Calibri"/>
                      <w:b w:val="false"/>
                      <w:bCs w:val="false"/>
                      <w:color w:val="000000"/>
                      <w:sz w:val="22"/>
                      <w:szCs w:val="22"/>
                      <w:highlight w:val="white"/>
                    </w:rPr>
                    <w:t xml:space="preserve">тощо). </w:t>
                  </w:r>
                  <w:r>
                    <w:rPr>
                      <w:rFonts w:eastAsia="Calibri"/>
                      <w:b w:val="false"/>
                      <w:bCs w:val="false"/>
                      <w:color w:val="000000"/>
                      <w:sz w:val="22"/>
                      <w:szCs w:val="22"/>
                    </w:rPr>
                    <w:t>Вартість одної одиниці до 5 мільйонів гривень.</w:t>
                  </w:r>
                </w:p>
              </w:tc>
            </w:tr>
            <w:tr>
              <w:trPr/>
              <w:tc>
                <w:tcPr>
                  <w:tcW w:w="6809"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Calibri" w:cs="Times New Roman"/>
                      <w:sz w:val="14"/>
                      <w:szCs w:val="14"/>
                    </w:rPr>
                  </w:pPr>
                  <w:r>
                    <w:rPr>
                      <w:rFonts w:eastAsia="Calibri" w:cs="Times New Roman" w:ascii="Times New Roman" w:hAnsi="Times New Roman"/>
                      <w:sz w:val="14"/>
                      <w:szCs w:val="14"/>
                    </w:rPr>
                  </w:r>
                </w:p>
              </w:tc>
            </w:tr>
          </w:tbl>
          <w:p>
            <w:pPr>
              <w:pStyle w:val="Normal"/>
              <w:spacing w:lineRule="auto" w:line="240" w:before="150" w:after="150"/>
              <w:jc w:val="both"/>
              <w:rPr>
                <w:rFonts w:ascii="Times New Roman" w:hAnsi="Times New Roman" w:eastAsia="Times New Roman" w:cs="Times New Roman"/>
              </w:rPr>
            </w:pPr>
            <w:r>
              <w:rPr>
                <w:rFonts w:eastAsia="Times New Roman" w:cs="Times New Roman" w:ascii="Times New Roman" w:hAnsi="Times New Roman"/>
              </w:rPr>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URL-адреса вебсайту, на якій розміщено інформацію, зазначену в </w:t>
            </w:r>
            <w:hyperlink r:id="rId2">
              <w:r>
                <w:rPr>
                  <w:rFonts w:eastAsia="Times New Roman" w:cs="Times New Roman" w:ascii="Times New Roman" w:hAnsi="Times New Roman"/>
                  <w:b/>
                  <w:bCs/>
                  <w:color w:val="0000FF"/>
                  <w:u w:val="single"/>
                </w:rPr>
                <w:t>частині третій</w:t>
              </w:r>
            </w:hyperlink>
            <w:r>
              <w:rPr>
                <w:rFonts w:eastAsia="Times New Roman" w:cs="Times New Roman" w:ascii="Times New Roman" w:hAnsi="Times New Roman"/>
                <w:b/>
                <w:bCs/>
              </w:rPr>
              <w:t> статті 47 Закону про акціонерні товариства</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hyperlink r:id="rId3" w:tgtFrame="_blank">
              <w:r>
                <w:rPr>
                  <w:rFonts w:eastAsia="Times New Roman" w:cs="Times New Roman" w:ascii="Times New Roman" w:hAnsi="Times New Roman"/>
                  <w:b/>
                  <w:bCs/>
                  <w:u w:val="single"/>
                  <w:lang w:eastAsia="uk-UA"/>
                </w:rPr>
                <w:t>http://00412263.infosite.com.ua</w:t>
              </w:r>
            </w:hyperlink>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Порядок ознайомлення акціонерів з матеріалами, з якими вони можуть ознайомитися під час підготовки до загальних зборів</w:t>
            </w:r>
            <w:r>
              <w:rPr>
                <w:rFonts w:eastAsia="Times New Roman" w:cs="Times New Roman" w:ascii="Times New Roman" w:hAnsi="Times New Roman"/>
                <w:b/>
                <w:bCs/>
                <w:vertAlign w:val="superscript"/>
              </w:rPr>
              <w:t>-3</w:t>
            </w:r>
            <w:r>
              <w:rPr>
                <w:rFonts w:eastAsia="Times New Roman" w:cs="Times New Roman" w:ascii="Times New Roman" w:hAnsi="Times New Roman"/>
                <w:b/>
                <w:bCs/>
              </w:rPr>
              <w:t>, та посадова особа</w:t>
            </w:r>
            <w:r>
              <w:rPr>
                <w:rFonts w:eastAsia="Times New Roman" w:cs="Times New Roman" w:ascii="Times New Roman" w:hAnsi="Times New Roman"/>
                <w:b/>
                <w:bCs/>
                <w:vertAlign w:val="superscript"/>
              </w:rPr>
              <w:t>-4</w:t>
            </w:r>
            <w:r>
              <w:rPr>
                <w:rFonts w:eastAsia="Times New Roman" w:cs="Times New Roman" w:ascii="Times New Roman" w:hAnsi="Times New Roman"/>
                <w:b/>
                <w:bCs/>
              </w:rPr>
              <w:t> акціонерного товариства, відповідальна за порядок ознайомлення акціонерів з документами</w:t>
            </w:r>
          </w:p>
        </w:tc>
        <w:tc>
          <w:tcPr>
            <w:tcW w:w="6854" w:type="dxa"/>
            <w:tcBorders>
              <w:top w:val="single" w:sz="6" w:space="0" w:color="000000"/>
              <w:left w:val="single" w:sz="6" w:space="0" w:color="000000"/>
              <w:bottom w:val="single" w:sz="6" w:space="0" w:color="000000"/>
              <w:right w:val="single" w:sz="6" w:space="0" w:color="000000"/>
            </w:tcBorders>
          </w:tcPr>
          <w:p>
            <w:pPr>
              <w:pStyle w:val="Normal"/>
              <w:jc w:val="both"/>
              <w:rPr>
                <w:rFonts w:ascii="Times New Roman" w:hAnsi="Times New Roman" w:eastAsia="Times New Roman" w:cs="Times New Roman"/>
                <w:lang w:val="zh-CN" w:eastAsia="zh-CN"/>
              </w:rPr>
            </w:pPr>
            <w:r>
              <w:rPr>
                <w:color w:val="000000"/>
              </w:rPr>
              <w:t xml:space="preserve">     </w:t>
            </w:r>
            <w:r>
              <w:rPr>
                <w:rFonts w:cs="Times New Roman" w:ascii="Times New Roman" w:hAnsi="Times New Roman"/>
                <w:color w:val="000000"/>
              </w:rPr>
              <w:t>Від дати надіслання повідомлення про проведення дистанційних</w:t>
            </w:r>
            <w:r>
              <w:rPr>
                <w:rFonts w:cs="Times New Roman" w:ascii="Times New Roman" w:hAnsi="Times New Roman"/>
                <w:color w:val="000000"/>
                <w:lang w:val="uk-UA"/>
              </w:rPr>
              <w:t xml:space="preserve"> </w:t>
            </w:r>
            <w:r>
              <w:rPr>
                <w:rFonts w:eastAsia="Calibri" w:cs="Times New Roman" w:ascii="Times New Roman" w:hAnsi="Times New Roman"/>
                <w:color w:val="000000"/>
                <w:kern w:val="0"/>
                <w:sz w:val="22"/>
                <w:szCs w:val="22"/>
                <w:lang w:val="en-US" w:eastAsia="en-US" w:bidi="ar-SA"/>
              </w:rPr>
              <w:t>П</w:t>
            </w:r>
            <w:r>
              <w:rPr>
                <w:rFonts w:eastAsia="Calibri" w:cs="Times New Roman" w:ascii="Times New Roman" w:hAnsi="Times New Roman"/>
                <w:color w:val="000000"/>
                <w:kern w:val="0"/>
                <w:sz w:val="22"/>
                <w:szCs w:val="22"/>
                <w:lang w:val="uk-UA" w:eastAsia="en-US" w:bidi="ar-SA"/>
              </w:rPr>
              <w:t xml:space="preserve">озачергових </w:t>
            </w:r>
            <w:r>
              <w:rPr>
                <w:rFonts w:cs="Times New Roman" w:ascii="Times New Roman" w:hAnsi="Times New Roman"/>
                <w:color w:val="000000"/>
              </w:rPr>
              <w:t>Загальних зборів до дати прове</w:t>
              <w:softHyphen/>
              <w:t xml:space="preserve">дення дистанційних </w:t>
            </w:r>
            <w:r>
              <w:rPr>
                <w:rFonts w:eastAsia="Calibri" w:cs="Times New Roman" w:ascii="Times New Roman" w:hAnsi="Times New Roman"/>
                <w:color w:val="000000"/>
                <w:kern w:val="0"/>
                <w:sz w:val="22"/>
                <w:szCs w:val="22"/>
                <w:lang w:val="en-US" w:eastAsia="en-US" w:bidi="ar-SA"/>
              </w:rPr>
              <w:t>П</w:t>
            </w:r>
            <w:r>
              <w:rPr>
                <w:rFonts w:eastAsia="Calibri" w:cs="Times New Roman" w:ascii="Times New Roman" w:hAnsi="Times New Roman"/>
                <w:color w:val="000000"/>
                <w:kern w:val="0"/>
                <w:sz w:val="22"/>
                <w:szCs w:val="22"/>
                <w:lang w:val="uk-UA" w:eastAsia="en-US" w:bidi="ar-SA"/>
              </w:rPr>
              <w:t>озачергових</w:t>
            </w:r>
            <w:r>
              <w:rPr>
                <w:rFonts w:cs="Times New Roman" w:ascii="Times New Roman" w:hAnsi="Times New Roman"/>
                <w:color w:val="000000"/>
              </w:rPr>
              <w:t xml:space="preserve"> Загальних зборів Товариства акціонери мають можливість ознайо</w:t>
              <w:softHyphen/>
              <w:t>ми</w:t>
              <w:softHyphen/>
              <w:t>тися з документами, необхідними для прийняття рішень з питань проекту порядку ден</w:t>
              <w:softHyphen/>
              <w:t xml:space="preserve">ного та проектом (проектами) рішення з питань проекту порядку денного, шляхом направлення запиту засобами електронної пошти на адресу електронної пошти </w:t>
            </w:r>
            <w:hyperlink r:id="rId4">
              <w:r>
                <w:rPr>
                  <w:rFonts w:eastAsia="Times New Roman" w:cs="Times New Roman" w:ascii="Times New Roman" w:hAnsi="Times New Roman"/>
                  <w:u w:val="single"/>
                  <w:lang w:val="zh-CN" w:eastAsia="zh-CN"/>
                </w:rPr>
                <w:t>n.alekcandrovskoe@ukr.net</w:t>
              </w:r>
            </w:hyperlink>
            <w:r>
              <w:rPr>
                <w:rFonts w:eastAsia="Times New Roman" w:cs="Times New Roman" w:ascii="Times New Roman" w:hAnsi="Times New Roman"/>
                <w:lang w:eastAsia="zh-CN"/>
              </w:rPr>
              <w:t xml:space="preserve">. </w:t>
            </w:r>
            <w:r>
              <w:rPr>
                <w:rStyle w:val="Xfm39478944"/>
                <w:rFonts w:cs="Times New Roman" w:ascii="Times New Roman" w:hAnsi="Times New Roman"/>
              </w:rPr>
              <w:t>Товариство засобами електронної пошти зобов</w:t>
            </w:r>
            <w:r>
              <w:rPr>
                <w:rStyle w:val="Xfm39478944"/>
                <w:rFonts w:cs="Times New Roman" w:ascii="Times New Roman" w:hAnsi="Times New Roman"/>
                <w:lang w:val="ru-RU"/>
              </w:rPr>
              <w:t>’</w:t>
            </w:r>
            <w:r>
              <w:rPr>
                <w:rStyle w:val="Xfm39478944"/>
                <w:rFonts w:cs="Times New Roman" w:ascii="Times New Roman" w:hAnsi="Times New Roman"/>
              </w:rPr>
              <w:t xml:space="preserve">язане на запит акціонера надати в формі електронних документів (копій документів), безкоштовно документи, з якими акціонер може ознайомитись під час підготовки до Загальних зборів акціонерів. </w:t>
            </w:r>
          </w:p>
          <w:p>
            <w:pPr>
              <w:pStyle w:val="ListParagraph"/>
              <w:ind w:left="0" w:firstLine="360"/>
              <w:jc w:val="both"/>
              <w:rPr>
                <w:sz w:val="22"/>
                <w:szCs w:val="22"/>
              </w:rPr>
            </w:pPr>
            <w:r>
              <w:rPr>
                <w:rStyle w:val="Xfm39478944"/>
                <w:sz w:val="22"/>
                <w:szCs w:val="22"/>
              </w:rPr>
              <w:t xml:space="preserve">Запит акціонера на ознайомлення з документами, необхідними для прийняття рішень з питань проекту порядку 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 </w:t>
            </w:r>
            <w:hyperlink r:id="rId5">
              <w:r>
                <w:rPr>
                  <w:sz w:val="22"/>
                  <w:szCs w:val="22"/>
                  <w:u w:val="single"/>
                  <w:lang w:val="zh-CN" w:eastAsia="zh-CN"/>
                </w:rPr>
                <w:t>n.alekcandrovskoe@ukr.net</w:t>
              </w:r>
            </w:hyperlink>
            <w:r>
              <w:rPr>
                <w:color w:val="000000"/>
                <w:sz w:val="22"/>
                <w:szCs w:val="22"/>
                <w:lang w:val="ru-RU"/>
              </w:rPr>
              <w:t>.</w:t>
            </w:r>
            <w:r>
              <w:rPr>
                <w:rStyle w:val="Xfm39478944"/>
                <w:sz w:val="22"/>
                <w:szCs w:val="22"/>
              </w:rPr>
              <w:t xml:space="preserve"> 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 </w:t>
            </w:r>
            <w:r>
              <w:rPr>
                <w:sz w:val="22"/>
                <w:szCs w:val="22"/>
                <w:lang w:eastAsia="ru-RU"/>
              </w:rPr>
              <w:t>та/або іншим засобом електронної ідентифікації, що відповідає вимогам, визначеним Національною комісією з цінних паперів та фондового ринку.</w:t>
            </w:r>
          </w:p>
          <w:p>
            <w:pPr>
              <w:pStyle w:val="Normal"/>
              <w:ind w:firstLine="426"/>
              <w:jc w:val="both"/>
              <w:rPr>
                <w:rFonts w:ascii="Times New Roman" w:hAnsi="Times New Roman" w:cs="Times New Roman"/>
              </w:rPr>
            </w:pPr>
            <w:r>
              <w:rPr>
                <w:rFonts w:cs="Times New Roman" w:ascii="Times New Roman" w:hAnsi="Times New Roman"/>
              </w:rPr>
              <w:t xml:space="preserve">Товариство до дати проведення дистанційних </w:t>
            </w:r>
            <w:r>
              <w:rPr>
                <w:rFonts w:eastAsia="Calibri" w:cs="Times New Roman" w:ascii="Times New Roman" w:hAnsi="Times New Roman"/>
                <w:color w:val="000000"/>
                <w:kern w:val="0"/>
                <w:sz w:val="22"/>
                <w:szCs w:val="22"/>
                <w:lang w:val="en-US" w:eastAsia="en-US" w:bidi="ar-SA"/>
              </w:rPr>
              <w:t>П</w:t>
            </w:r>
            <w:r>
              <w:rPr>
                <w:rFonts w:eastAsia="Calibri" w:cs="Times New Roman" w:ascii="Times New Roman" w:hAnsi="Times New Roman"/>
                <w:color w:val="000000"/>
                <w:kern w:val="0"/>
                <w:sz w:val="22"/>
                <w:szCs w:val="22"/>
                <w:lang w:val="uk-UA" w:eastAsia="en-US" w:bidi="ar-SA"/>
              </w:rPr>
              <w:t>озачергових</w:t>
            </w:r>
            <w:r>
              <w:rPr>
                <w:rFonts w:cs="Times New Roman" w:ascii="Times New Roman" w:hAnsi="Times New Roman"/>
              </w:rPr>
              <w:t xml:space="preserve"> Загальних зборів у встановленому ним порядку зобов'язане надавати письмові відповіді на письмові запитання акціонерів щодо питань, включених до проекту порядку денного дистанційних </w:t>
            </w:r>
            <w:r>
              <w:rPr>
                <w:rFonts w:eastAsia="Calibri" w:cs="Times New Roman" w:ascii="Times New Roman" w:hAnsi="Times New Roman"/>
                <w:color w:val="000000"/>
                <w:kern w:val="0"/>
                <w:sz w:val="22"/>
                <w:szCs w:val="22"/>
                <w:lang w:val="en-US" w:eastAsia="en-US" w:bidi="ar-SA"/>
              </w:rPr>
              <w:t>П</w:t>
            </w:r>
            <w:r>
              <w:rPr>
                <w:rFonts w:eastAsia="Calibri" w:cs="Times New Roman" w:ascii="Times New Roman" w:hAnsi="Times New Roman"/>
                <w:color w:val="000000"/>
                <w:kern w:val="0"/>
                <w:sz w:val="22"/>
                <w:szCs w:val="22"/>
                <w:lang w:val="uk-UA" w:eastAsia="en-US" w:bidi="ar-SA"/>
              </w:rPr>
              <w:t>озачергових</w:t>
            </w:r>
            <w:r>
              <w:rPr>
                <w:rFonts w:cs="Times New Roman" w:ascii="Times New Roman" w:hAnsi="Times New Roman"/>
              </w:rPr>
              <w:t xml:space="preserve"> Загальних зборів. Відповідні запити направляються акціонерами на адресу електронної пошти: </w:t>
            </w:r>
            <w:hyperlink r:id="rId6">
              <w:r>
                <w:rPr>
                  <w:rFonts w:eastAsia="Times New Roman" w:cs="Times New Roman" w:ascii="Times New Roman" w:hAnsi="Times New Roman"/>
                  <w:u w:val="single"/>
                  <w:lang w:val="zh-CN" w:eastAsia="zh-CN"/>
                </w:rPr>
                <w:t>n.alekcandrovskoe@ukr.net</w:t>
              </w:r>
            </w:hyperlink>
            <w:r>
              <w:rPr>
                <w:rFonts w:eastAsia="Times New Roman" w:cs="Times New Roman" w:ascii="Times New Roman" w:hAnsi="Times New Roman"/>
                <w:lang w:eastAsia="zh-CN"/>
              </w:rPr>
              <w:t xml:space="preserve">, </w:t>
            </w:r>
            <w:r>
              <w:rPr>
                <w:rFonts w:cs="Times New Roman" w:ascii="Times New Roman" w:hAnsi="Times New Roman"/>
              </w:rPr>
              <w:t xml:space="preserve">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w:t>
            </w:r>
            <w:r>
              <w:rPr>
                <w:rStyle w:val="Xfm39478944"/>
                <w:rFonts w:cs="Times New Roman" w:ascii="Times New Roman" w:hAnsi="Times New Roman"/>
              </w:rPr>
              <w:t xml:space="preserve">кваліфікованим електронним підписом  такого акціонера (іншим засобом, що забезпечує ідентифікацію та підтвердження направлення документу особою). </w:t>
            </w:r>
            <w:r>
              <w:rPr>
                <w:rFonts w:cs="Times New Roman" w:ascii="Times New Roman" w:hAnsi="Times New Roman"/>
              </w:rPr>
              <w:t>Товариство може надати одну загальну відповідь на всі запитання однакового змісту.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та/або іншим засобом електронної ідентифікації, що відповідає вимогам, визначеним Національною комісією з цінних паперів та фондового ринку</w:t>
            </w:r>
          </w:p>
          <w:p>
            <w:pPr>
              <w:pStyle w:val="Normal"/>
              <w:spacing w:before="0" w:after="160"/>
              <w:jc w:val="both"/>
              <w:rPr>
                <w:rFonts w:ascii="Times New Roman" w:hAnsi="Times New Roman" w:cs="Times New Roman"/>
              </w:rPr>
            </w:pPr>
            <w:r>
              <w:rPr>
                <w:rStyle w:val="Xfm39478944"/>
                <w:rFonts w:cs="Times New Roman" w:ascii="Times New Roman" w:hAnsi="Times New Roman"/>
              </w:rPr>
              <w:t>Посадова особа, відповідальна за порядок ознайомлення акціонерів з документами – Г</w:t>
            </w:r>
            <w:r>
              <w:rPr>
                <w:rStyle w:val="Xfm39478944"/>
                <w:rFonts w:eastAsia="Calibri" w:cs="Times New Roman" w:ascii="Times New Roman" w:hAnsi="Times New Roman" w:eastAsiaTheme="minorHAnsi"/>
                <w:color w:val="auto"/>
                <w:kern w:val="0"/>
                <w:sz w:val="22"/>
                <w:szCs w:val="22"/>
                <w:lang w:val="uk-UA" w:eastAsia="en-US" w:bidi="ar-SA"/>
              </w:rPr>
              <w:t>енеральний директор</w:t>
            </w:r>
            <w:r>
              <w:rPr>
                <w:rFonts w:cs="Times New Roman" w:ascii="Times New Roman" w:hAnsi="Times New Roman"/>
              </w:rPr>
              <w:t xml:space="preserve"> Товариства Степура А.В. </w:t>
            </w:r>
            <w:r>
              <w:rPr>
                <w:rStyle w:val="Xfm39478944"/>
                <w:rFonts w:cs="Times New Roman" w:ascii="Times New Roman" w:hAnsi="Times New Roman"/>
              </w:rPr>
              <w:t xml:space="preserve"> Телефон для довідок: </w:t>
            </w:r>
            <w:r>
              <w:rPr>
                <w:rStyle w:val="Xfm39478944"/>
                <w:rFonts w:cs="Times New Roman" w:ascii="Times New Roman" w:hAnsi="Times New Roman"/>
                <w:lang w:val="ru-RU"/>
              </w:rPr>
              <w:t xml:space="preserve">+380457058634, </w:t>
            </w:r>
            <w:r>
              <w:rPr>
                <w:rStyle w:val="Xfm39478944"/>
                <w:rFonts w:cs="Times New Roman" w:ascii="Times New Roman" w:hAnsi="Times New Roman"/>
                <w:lang w:val="uk-UA"/>
              </w:rPr>
              <w:t>+380632796694</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Інформація про права, надані акціонерам відповідно до вимог </w:t>
            </w:r>
            <w:hyperlink r:id="rId7">
              <w:r>
                <w:rPr>
                  <w:rFonts w:eastAsia="Times New Roman" w:cs="Times New Roman" w:ascii="Times New Roman" w:hAnsi="Times New Roman"/>
                  <w:b/>
                  <w:bCs/>
                  <w:color w:val="0000FF"/>
                  <w:u w:val="single"/>
                </w:rPr>
                <w:t>статей 27</w:t>
              </w:r>
            </w:hyperlink>
            <w:r>
              <w:rPr>
                <w:rFonts w:eastAsia="Times New Roman" w:cs="Times New Roman" w:ascii="Times New Roman" w:hAnsi="Times New Roman"/>
                <w:b/>
                <w:bCs/>
              </w:rPr>
              <w:t> і </w:t>
            </w:r>
            <w:hyperlink r:id="rId8">
              <w:r>
                <w:rPr>
                  <w:rFonts w:eastAsia="Times New Roman" w:cs="Times New Roman" w:ascii="Times New Roman" w:hAnsi="Times New Roman"/>
                  <w:b/>
                  <w:bCs/>
                  <w:color w:val="0000FF"/>
                  <w:u w:val="single"/>
                </w:rPr>
                <w:t>28</w:t>
              </w:r>
            </w:hyperlink>
            <w:r>
              <w:rPr>
                <w:rFonts w:eastAsia="Times New Roman" w:cs="Times New Roman" w:ascii="Times New Roman" w:hAnsi="Times New Roman"/>
                <w:b/>
                <w:bCs/>
              </w:rPr>
              <w:t>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before="0" w:after="160"/>
              <w:ind w:firstLine="404"/>
              <w:jc w:val="both"/>
              <w:rPr>
                <w:rFonts w:ascii="Times New Roman" w:hAnsi="Times New Roman" w:cs="Times New Roman"/>
                <w:color w:val="333333"/>
                <w:highlight w:val="white"/>
              </w:rPr>
            </w:pPr>
            <w:r>
              <w:rPr>
                <w:rFonts w:cs="Times New Roman" w:ascii="Times New Roman" w:hAnsi="Times New Roman"/>
              </w:rPr>
              <w:t xml:space="preserve">Після отримання цього повідомлення акціонери можуть користуватися правами, передбаченими Законом України «Про акціонерні товариства», зокрема, правом на участь </w:t>
            </w:r>
            <w:r>
              <w:rPr>
                <w:rFonts w:cs="Times New Roman" w:ascii="Times New Roman" w:hAnsi="Times New Roman"/>
                <w:shd w:fill="FFFFFF" w:val="clear"/>
              </w:rPr>
              <w:t xml:space="preserve">в управлінні товариством, отримання дивідендів, отримання у разі ліквідації товариства частини його майна або вартості частини майна товариства, отримання інформації про господарську діяльність товариства. Акціонери Товариства також мають право ознайомлюватись з документами, необхідними для прийняття рішень – до дати проведення дистанційних загальних зборів акціонерів, а також ознайомлюватись з протоколами про підсумки голосування, протоколом загальних зборів акціонерів  - після їх оприлюднення на вебсайті Товариства та протягом строку, встановленого чинним законодавством України. </w:t>
            </w:r>
          </w:p>
        </w:tc>
      </w:tr>
      <w:tr>
        <w:trPr>
          <w:trHeight w:val="40" w:hRule="atLeast"/>
        </w:trPr>
        <w:tc>
          <w:tcPr>
            <w:tcW w:w="2715"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 xml:space="preserve">Порядок надання акціонерами пропозицій до проекту порядку денного </w:t>
            </w:r>
            <w:r>
              <w:rPr>
                <w:rFonts w:eastAsia="Calibri" w:cs="Times New Roman" w:ascii="Times New Roman" w:hAnsi="Times New Roman"/>
                <w:b/>
                <w:bCs/>
                <w:color w:val="000000"/>
                <w:kern w:val="0"/>
                <w:sz w:val="22"/>
                <w:szCs w:val="22"/>
                <w:lang w:val="en-US" w:eastAsia="en-US" w:bidi="ar-SA"/>
              </w:rPr>
              <w:t>П</w:t>
            </w:r>
            <w:r>
              <w:rPr>
                <w:rFonts w:eastAsia="Calibri" w:cs="Times New Roman" w:ascii="Times New Roman" w:hAnsi="Times New Roman"/>
                <w:b/>
                <w:bCs/>
                <w:color w:val="000000"/>
                <w:kern w:val="0"/>
                <w:sz w:val="22"/>
                <w:szCs w:val="22"/>
                <w:lang w:val="uk-UA" w:eastAsia="en-US" w:bidi="ar-SA"/>
              </w:rPr>
              <w:t>озачергових</w:t>
            </w:r>
            <w:r>
              <w:rPr>
                <w:rFonts w:eastAsia="Times New Roman" w:cs="Times New Roman" w:ascii="Times New Roman" w:hAnsi="Times New Roman"/>
                <w:b/>
                <w:bCs/>
              </w:rPr>
              <w:t xml:space="preserve"> загальних зборів</w:t>
            </w:r>
          </w:p>
        </w:tc>
        <w:tc>
          <w:tcPr>
            <w:tcW w:w="6854"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ind w:firstLine="404"/>
              <w:jc w:val="both"/>
              <w:rPr>
                <w:rFonts w:ascii="Times New Roman" w:hAnsi="Times New Roman" w:eastAsia="Times New Roman" w:cs="Times New Roman"/>
              </w:rPr>
            </w:pPr>
            <w:r>
              <w:rPr>
                <w:rFonts w:cs="Times New Roman" w:ascii="Times New Roman" w:hAnsi="Times New Roman"/>
                <w:lang w:val="ru-RU"/>
              </w:rPr>
              <w:t xml:space="preserve">Кожний акціонер Товариства має право вносити пропозиції щодо питань, включених до проекту порядку денного дистанційних </w:t>
            </w:r>
            <w:r>
              <w:rPr>
                <w:rFonts w:eastAsia="Calibri" w:cs="Times New Roman" w:ascii="Times New Roman" w:hAnsi="Times New Roman"/>
                <w:color w:val="000000"/>
                <w:kern w:val="0"/>
                <w:sz w:val="22"/>
                <w:szCs w:val="22"/>
                <w:lang w:val="en-US" w:eastAsia="en-US" w:bidi="ar-SA"/>
              </w:rPr>
              <w:t>П</w:t>
            </w:r>
            <w:r>
              <w:rPr>
                <w:rFonts w:eastAsia="Calibri" w:cs="Times New Roman" w:ascii="Times New Roman" w:hAnsi="Times New Roman"/>
                <w:color w:val="000000"/>
                <w:kern w:val="0"/>
                <w:sz w:val="22"/>
                <w:szCs w:val="22"/>
                <w:lang w:val="uk-UA" w:eastAsia="en-US" w:bidi="ar-SA"/>
              </w:rPr>
              <w:t>озачергових</w:t>
            </w:r>
            <w:r>
              <w:rPr>
                <w:rFonts w:cs="Times New Roman" w:ascii="Times New Roman" w:hAnsi="Times New Roman"/>
                <w:lang w:val="ru-RU"/>
              </w:rPr>
              <w:t xml:space="preserve">  Загальних зборів Товариства. </w:t>
            </w:r>
            <w:r>
              <w:rPr>
                <w:rFonts w:cs="Times New Roman" w:ascii="Times New Roman" w:hAnsi="Times New Roman"/>
              </w:rPr>
              <w:t>Пропозиції вносяться не пізніше ніж за</w:t>
            </w:r>
            <w:r>
              <w:rPr>
                <w:rFonts w:cs="Times New Roman" w:ascii="Times New Roman" w:hAnsi="Times New Roman"/>
                <w:color w:val="000000"/>
              </w:rPr>
              <w:t xml:space="preserve"> 1</w:t>
            </w:r>
            <w:r>
              <w:rPr>
                <w:rFonts w:cs="Times New Roman" w:ascii="Times New Roman" w:hAnsi="Times New Roman"/>
                <w:color w:val="000000"/>
              </w:rPr>
              <w:t>2</w:t>
            </w:r>
            <w:r>
              <w:rPr>
                <w:rFonts w:cs="Times New Roman" w:ascii="Times New Roman" w:hAnsi="Times New Roman"/>
                <w:color w:val="000000"/>
              </w:rPr>
              <w:t xml:space="preserve"> днів д</w:t>
            </w:r>
            <w:r>
              <w:rPr>
                <w:rFonts w:cs="Times New Roman" w:ascii="Times New Roman" w:hAnsi="Times New Roman"/>
              </w:rPr>
              <w:t xml:space="preserve">о дати проведення </w:t>
            </w:r>
            <w:r>
              <w:rPr>
                <w:rFonts w:eastAsia="Calibri" w:cs="Times New Roman" w:ascii="Times New Roman" w:hAnsi="Times New Roman"/>
                <w:color w:val="000000"/>
                <w:kern w:val="0"/>
                <w:sz w:val="22"/>
                <w:szCs w:val="22"/>
                <w:lang w:val="en-US" w:eastAsia="en-US" w:bidi="ar-SA"/>
              </w:rPr>
              <w:t>П</w:t>
            </w:r>
            <w:r>
              <w:rPr>
                <w:rFonts w:eastAsia="Calibri" w:cs="Times New Roman" w:ascii="Times New Roman" w:hAnsi="Times New Roman"/>
                <w:color w:val="000000"/>
                <w:kern w:val="0"/>
                <w:sz w:val="22"/>
                <w:szCs w:val="22"/>
                <w:lang w:val="uk-UA" w:eastAsia="en-US" w:bidi="ar-SA"/>
              </w:rPr>
              <w:t>озачергових</w:t>
            </w:r>
            <w:r>
              <w:rPr>
                <w:rFonts w:cs="Times New Roman" w:ascii="Times New Roman" w:hAnsi="Times New Roman"/>
              </w:rPr>
              <w:t xml:space="preserve"> Загальних зборів Товариства, а щодо кандидатів до складу органів Товариства - не пізніше ніж за сім днів до дати проведення Річних  Загальних зборів. </w:t>
            </w:r>
            <w:r>
              <w:rPr>
                <w:rFonts w:cs="Times New Roman" w:ascii="Times New Roman" w:hAnsi="Times New Roman"/>
                <w:shd w:fill="FFFFFF" w:val="clear"/>
              </w:rPr>
              <w:t xml:space="preserve">Пропозиції стосовно кандидатів у члени наглядової ради мають містити інформацію про те, чи є запропонований кандидат представником акціонера (акціонерів), або про те, що кандидат пропонується на посаду члена наглядової ради - незалежного директора. </w:t>
            </w:r>
            <w:r>
              <w:rPr>
                <w:rFonts w:cs="Times New Roman" w:ascii="Times New Roman" w:hAnsi="Times New Roman"/>
              </w:rPr>
              <w:t xml:space="preserve">Пропозиції щодо включення нових питань до проекту порядку денного повинні містити відповідні проекти рішень з цих питань. Пропозиція до проекту порядку денного дистанційних </w:t>
            </w:r>
            <w:r>
              <w:rPr>
                <w:rFonts w:eastAsia="Calibri" w:cs="Times New Roman" w:ascii="Times New Roman" w:hAnsi="Times New Roman"/>
                <w:color w:val="000000"/>
                <w:kern w:val="0"/>
                <w:sz w:val="22"/>
                <w:szCs w:val="22"/>
                <w:lang w:val="en-US" w:eastAsia="en-US" w:bidi="ar-SA"/>
              </w:rPr>
              <w:t>П</w:t>
            </w:r>
            <w:r>
              <w:rPr>
                <w:rFonts w:eastAsia="Calibri" w:cs="Times New Roman" w:ascii="Times New Roman" w:hAnsi="Times New Roman"/>
                <w:color w:val="000000"/>
                <w:kern w:val="0"/>
                <w:sz w:val="22"/>
                <w:szCs w:val="22"/>
                <w:lang w:val="uk-UA" w:eastAsia="en-US" w:bidi="ar-SA"/>
              </w:rPr>
              <w:t>озачергових</w:t>
            </w:r>
            <w:r>
              <w:rPr>
                <w:rFonts w:cs="Times New Roman" w:ascii="Times New Roman" w:hAnsi="Times New Roman"/>
              </w:rPr>
              <w:t xml:space="preserve"> Загальних зборів Товариства може бути направлена акціонером у вигляді електронного документу із засвідченням його </w:t>
            </w:r>
            <w:r>
              <w:rPr>
                <w:rStyle w:val="Xfm39478944"/>
                <w:rFonts w:cs="Times New Roman" w:ascii="Times New Roman" w:hAnsi="Times New Roman"/>
              </w:rPr>
              <w:t>кваліфікованим електронним підписом  такого акціонера (</w:t>
            </w:r>
            <w:r>
              <w:rPr>
                <w:rFonts w:cs="Times New Roman" w:ascii="Times New Roman" w:hAnsi="Times New Roman"/>
              </w:rPr>
              <w:t>та/або іншим засобом електронної ідентифікації, що відповідає вимогам, визначеним Національною комісією з цінних паперів та фондового ринку</w:t>
            </w:r>
            <w:r>
              <w:rPr>
                <w:rStyle w:val="Xfm39478944"/>
                <w:rFonts w:cs="Times New Roman" w:ascii="Times New Roman" w:hAnsi="Times New Roman"/>
              </w:rPr>
              <w:t xml:space="preserve">) </w:t>
            </w:r>
            <w:r>
              <w:rPr>
                <w:rFonts w:cs="Times New Roman" w:ascii="Times New Roman" w:hAnsi="Times New Roman"/>
              </w:rPr>
              <w:t xml:space="preserve">на адресу електронної пошти: </w:t>
            </w:r>
            <w:hyperlink r:id="rId9">
              <w:r>
                <w:rPr>
                  <w:rFonts w:eastAsia="Times New Roman" w:cs="Times New Roman" w:ascii="Times New Roman" w:hAnsi="Times New Roman"/>
                  <w:color w:val="auto"/>
                  <w:lang w:val="zh-CN" w:eastAsia="zh-CN"/>
                </w:rPr>
                <w:t>n.alekcandrovskoe@ukr.net</w:t>
              </w:r>
            </w:hyperlink>
            <w:r>
              <w:rPr>
                <w:rFonts w:eastAsia="Times New Roman" w:cs="Times New Roman" w:ascii="Times New Roman" w:hAnsi="Times New Roman"/>
                <w:u w:val="single"/>
                <w:lang w:eastAsia="zh-CN"/>
              </w:rPr>
              <w:t>.</w:t>
            </w:r>
          </w:p>
        </w:tc>
      </w:tr>
    </w:tbl>
    <w:p>
      <w:pPr>
        <w:pStyle w:val="Normal"/>
        <w:shd w:val="clear" w:color="auto" w:fill="FFFFFF"/>
        <w:spacing w:lineRule="auto" w:line="240" w:before="150" w:after="150"/>
        <w:rPr>
          <w:rFonts w:ascii="Times New Roman" w:hAnsi="Times New Roman" w:eastAsia="Times New Roman" w:cs="Times New Roman"/>
          <w:sz w:val="20"/>
          <w:szCs w:val="20"/>
        </w:rPr>
      </w:pPr>
      <w:bookmarkStart w:id="2" w:name="n1281"/>
      <w:bookmarkEnd w:id="2"/>
      <w:r>
        <w:rPr>
          <w:rFonts w:eastAsia="Times New Roman" w:cs="Times New Roman" w:ascii="Times New Roman" w:hAnsi="Times New Roman"/>
          <w:color w:val="333333"/>
          <w:sz w:val="20"/>
          <w:szCs w:val="20"/>
        </w:rPr>
        <w:t>__________</w:t>
        <w:br/>
      </w:r>
      <w:r>
        <w:rPr>
          <w:rFonts w:eastAsia="Times New Roman" w:cs="Times New Roman" w:ascii="Times New Roman" w:hAnsi="Times New Roman"/>
          <w:b/>
          <w:bCs/>
          <w:color w:val="333333"/>
          <w:sz w:val="20"/>
          <w:szCs w:val="20"/>
          <w:vertAlign w:val="superscript"/>
        </w:rPr>
        <w:t>-</w:t>
      </w:r>
      <w:r>
        <w:rPr>
          <w:rFonts w:eastAsia="Times New Roman" w:cs="Times New Roman" w:ascii="Times New Roman" w:hAnsi="Times New Roman"/>
          <w:sz w:val="20"/>
          <w:szCs w:val="20"/>
          <w:vertAlign w:val="superscript"/>
        </w:rPr>
        <w:t>1</w:t>
      </w:r>
      <w:r>
        <w:rPr>
          <w:rFonts w:eastAsia="Times New Roman" w:cs="Times New Roman" w:ascii="Times New Roman" w:hAnsi="Times New Roman"/>
          <w:sz w:val="20"/>
          <w:szCs w:val="20"/>
        </w:rPr>
        <w:t> Повна адреса місця розташування відповідного приміщення із зазначенням номера кімнати, офісу або залу, куди мають прибути акціонери.</w:t>
        <w:br/>
      </w:r>
      <w:r>
        <w:rPr>
          <w:rFonts w:eastAsia="Times New Roman" w:cs="Times New Roman" w:ascii="Times New Roman" w:hAnsi="Times New Roman"/>
          <w:sz w:val="20"/>
          <w:szCs w:val="20"/>
          <w:vertAlign w:val="superscript"/>
        </w:rPr>
        <w:t>-2</w:t>
      </w:r>
      <w:r>
        <w:rPr>
          <w:rFonts w:eastAsia="Times New Roman" w:cs="Times New Roman" w:ascii="Times New Roman" w:hAnsi="Times New Roman"/>
          <w:sz w:val="20"/>
          <w:szCs w:val="20"/>
        </w:rPr>
        <w:t> У разі скликання Річних загальних зборів акціонерів за скороченою процедурою.</w:t>
        <w:br/>
      </w:r>
      <w:r>
        <w:rPr>
          <w:rFonts w:eastAsia="Times New Roman" w:cs="Times New Roman" w:ascii="Times New Roman" w:hAnsi="Times New Roman"/>
          <w:sz w:val="20"/>
          <w:szCs w:val="20"/>
          <w:vertAlign w:val="superscript"/>
        </w:rPr>
        <w:t>-3</w:t>
      </w:r>
      <w:r>
        <w:rPr>
          <w:rFonts w:eastAsia="Times New Roman" w:cs="Times New Roman" w:ascii="Times New Roman" w:hAnsi="Times New Roman"/>
          <w:sz w:val="20"/>
          <w:szCs w:val="20"/>
        </w:rPr>
        <w:t> Включаючи визначене місце для ознайомлення (номер кімнати, офісу тощо).</w:t>
        <w:br/>
      </w:r>
      <w:r>
        <w:rPr>
          <w:rFonts w:eastAsia="Times New Roman" w:cs="Times New Roman" w:ascii="Times New Roman" w:hAnsi="Times New Roman"/>
          <w:sz w:val="20"/>
          <w:szCs w:val="20"/>
          <w:vertAlign w:val="superscript"/>
        </w:rPr>
        <w:t>-4</w:t>
      </w:r>
      <w:r>
        <w:rPr>
          <w:rFonts w:eastAsia="Times New Roman" w:cs="Times New Roman" w:ascii="Times New Roman" w:hAnsi="Times New Roman"/>
          <w:sz w:val="20"/>
          <w:szCs w:val="20"/>
        </w:rPr>
        <w:t> У разі скликання загальних зборів акціонерами - особа, визначена такими акціонерами.</w:t>
      </w:r>
    </w:p>
    <w:tbl>
      <w:tblPr>
        <w:tblStyle w:val="3"/>
        <w:tblW w:w="9360" w:type="dxa"/>
        <w:jc w:val="left"/>
        <w:tblInd w:w="0" w:type="dxa"/>
        <w:tblCellMar>
          <w:top w:w="10" w:type="dxa"/>
          <w:left w:w="10" w:type="dxa"/>
          <w:bottom w:w="10" w:type="dxa"/>
          <w:right w:w="10" w:type="dxa"/>
        </w:tblCellMar>
      </w:tblPr>
      <w:tblGrid>
        <w:gridCol w:w="2968"/>
        <w:gridCol w:w="6391"/>
      </w:tblGrid>
      <w:tr>
        <w:trPr>
          <w:trHeight w:val="40" w:hRule="atLeast"/>
        </w:trPr>
        <w:tc>
          <w:tcPr>
            <w:tcW w:w="2968"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bookmarkStart w:id="3" w:name="n1282"/>
            <w:bookmarkEnd w:id="3"/>
            <w:r>
              <w:rPr>
                <w:rFonts w:eastAsia="Times New Roman" w:cs="Times New Roman" w:ascii="Times New Roman" w:hAnsi="Times New Roman"/>
              </w:rPr>
              <w:t>1</w:t>
            </w:r>
          </w:p>
        </w:tc>
        <w:tc>
          <w:tcPr>
            <w:tcW w:w="639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eastAsia="Times New Roman" w:cs="Times New Roman" w:ascii="Times New Roman" w:hAnsi="Times New Roman"/>
              </w:rPr>
              <w:t>2</w:t>
            </w:r>
          </w:p>
        </w:tc>
      </w:tr>
      <w:tr>
        <w:trPr>
          <w:trHeight w:val="40" w:hRule="atLeast"/>
        </w:trPr>
        <w:tc>
          <w:tcPr>
            <w:tcW w:w="2968"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Порядок участі та голосування на загальних зборах за довіреністю</w:t>
            </w:r>
          </w:p>
        </w:tc>
        <w:tc>
          <w:tcPr>
            <w:tcW w:w="6391" w:type="dxa"/>
            <w:tcBorders>
              <w:top w:val="single" w:sz="6" w:space="0" w:color="000000"/>
              <w:left w:val="single" w:sz="6" w:space="0" w:color="000000"/>
              <w:bottom w:val="single" w:sz="6" w:space="0" w:color="000000"/>
              <w:right w:val="single" w:sz="6" w:space="0" w:color="000000"/>
            </w:tcBorders>
          </w:tcPr>
          <w:p>
            <w:pPr>
              <w:pStyle w:val="Normal"/>
              <w:spacing w:before="120" w:after="120"/>
              <w:ind w:firstLine="270"/>
              <w:jc w:val="both"/>
              <w:rPr>
                <w:rFonts w:ascii="Times New Roman" w:hAnsi="Times New Roman" w:cs="Times New Roman"/>
                <w:lang w:val="ru-RU"/>
              </w:rPr>
            </w:pPr>
            <w:r>
              <w:rPr>
                <w:rFonts w:cs="Times New Roman" w:ascii="Times New Roman" w:hAnsi="Times New Roman"/>
                <w:lang w:val="ru-RU"/>
              </w:rPr>
              <w:t xml:space="preserve">Бюлетені для голосування на Загальних зборах приймаються виключно до 18-00 дати завершення голосування (до 18-00 </w:t>
            </w:r>
            <w:r>
              <w:rPr>
                <w:rFonts w:cs="Times New Roman" w:ascii="Times New Roman" w:hAnsi="Times New Roman"/>
                <w:lang w:val="uk-UA"/>
              </w:rPr>
              <w:t>12</w:t>
            </w:r>
            <w:r>
              <w:rPr>
                <w:rFonts w:cs="Times New Roman" w:ascii="Times New Roman" w:hAnsi="Times New Roman"/>
                <w:lang w:val="ru-RU"/>
              </w:rPr>
              <w:t>.</w:t>
            </w:r>
            <w:r>
              <w:rPr>
                <w:rFonts w:cs="Times New Roman" w:ascii="Times New Roman" w:hAnsi="Times New Roman"/>
                <w:lang w:val="uk-UA"/>
              </w:rPr>
              <w:t>11</w:t>
            </w:r>
            <w:r>
              <w:rPr>
                <w:rFonts w:cs="Times New Roman" w:ascii="Times New Roman" w:hAnsi="Times New Roman"/>
                <w:lang w:val="ru-RU"/>
              </w:rPr>
              <w:t>.2024 року).</w:t>
            </w:r>
          </w:p>
          <w:p>
            <w:pPr>
              <w:pStyle w:val="Normal"/>
              <w:ind w:firstLine="270"/>
              <w:jc w:val="both"/>
              <w:rPr>
                <w:rFonts w:ascii="Times New Roman" w:hAnsi="Times New Roman" w:cs="Times New Roman"/>
                <w:lang w:val="ru-RU"/>
              </w:rPr>
            </w:pPr>
            <w:r>
              <w:rPr>
                <w:rFonts w:cs="Times New Roman" w:ascii="Times New Roman" w:hAnsi="Times New Roman"/>
                <w:lang w:val="ru-RU"/>
              </w:rPr>
              <w:t>Кожен акціонер - власник голосуючих акцій має право реалізувати своє право на управління Товариством шляхом участі у Загальних зборах та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 на дату складення переліку акціонерів, які мають право на участь у Загальних зборах.</w:t>
            </w:r>
          </w:p>
          <w:p>
            <w:pPr>
              <w:pStyle w:val="Normal"/>
              <w:ind w:firstLine="270"/>
              <w:jc w:val="both"/>
              <w:rPr>
                <w:rFonts w:ascii="Times New Roman" w:hAnsi="Times New Roman" w:cs="Times New Roman"/>
              </w:rPr>
            </w:pPr>
            <w:r>
              <w:rPr>
                <w:rFonts w:cs="Times New Roman" w:ascii="Times New Roman" w:hAnsi="Times New Roman"/>
              </w:rPr>
              <w:t xml:space="preserve">У разі відмови депозитарної установи у прийнятті бюлетеня для голосування, акціонер (його представник) має право до завершення голосування на загальних зборах направити бюлетень для голосування, оригінал або належно засвідчену копію відмови депозитарної установи у прийнятті бюлетеня для голосування, а також оригінали та/або належним чином засвідчені копії документів, що підтверджують особу акціонера (представника акціонера), повноваження представника акціонера (у разі підписання бюлетеня для голосування представником акціонера) на адресу електронної пошти: </w:t>
            </w:r>
            <w:hyperlink r:id="rId10">
              <w:r>
                <w:rPr>
                  <w:rFonts w:eastAsia="Times New Roman" w:cs="Times New Roman" w:ascii="Times New Roman" w:hAnsi="Times New Roman"/>
                  <w:color w:val="auto"/>
                  <w:lang w:val="zh-CN" w:eastAsia="zh-CN"/>
                </w:rPr>
                <w:t>n.alekcandrovskoe@ukr.net</w:t>
              </w:r>
            </w:hyperlink>
            <w:r>
              <w:rPr>
                <w:rFonts w:cs="Times New Roman" w:ascii="Times New Roman" w:hAnsi="Times New Roman"/>
              </w:rPr>
              <w:t>.  У такому разі акціонер (його представник) одночасно направляє копію відмови депозитарної установи у прийнятті бюлетеня для голосування до Національної комісії з цінних паперів та фондового ринку.</w:t>
            </w:r>
          </w:p>
          <w:p>
            <w:pPr>
              <w:pStyle w:val="Normal"/>
              <w:ind w:firstLine="270"/>
              <w:jc w:val="both"/>
              <w:rPr>
                <w:rFonts w:ascii="Times New Roman" w:hAnsi="Times New Roman" w:cs="Times New Roman"/>
                <w:lang w:val="ru-RU"/>
              </w:rPr>
            </w:pPr>
            <w:r>
              <w:rPr>
                <w:rFonts w:cs="Times New Roman" w:ascii="Times New Roman" w:hAnsi="Times New Roman"/>
                <w:lang w:val="ru-RU"/>
              </w:rPr>
              <w:t>Голосування на Загальних зборах з питань порядку денного проводиться виключно з використанням бюлетенів для голосування – бюлетеня для голосування (щодо інших питань порядку денного, крім обрання органів товариства) та бюлетеню для голосування з питань обрання органів товариства (крім кумулятивного голосування).</w:t>
            </w:r>
          </w:p>
          <w:p>
            <w:pPr>
              <w:pStyle w:val="Normal"/>
              <w:ind w:firstLine="270"/>
              <w:jc w:val="both"/>
              <w:rPr>
                <w:rFonts w:ascii="Times New Roman" w:hAnsi="Times New Roman" w:cs="Times New Roman"/>
                <w:lang w:val="ru-RU"/>
              </w:rPr>
            </w:pPr>
            <w:r>
              <w:rPr>
                <w:rFonts w:cs="Times New Roman" w:ascii="Times New Roman" w:hAnsi="Times New Roman"/>
                <w:lang w:val="ru-RU"/>
              </w:rPr>
              <w:t> </w:t>
            </w:r>
            <w:r>
              <w:rPr>
                <w:rFonts w:cs="Times New Roman" w:ascii="Times New Roman" w:hAnsi="Times New Roman"/>
                <w:lang w:val="ru-RU"/>
              </w:rPr>
              <w:t>У разі, якщо акціонер має рахунки в цінних паперах в декількох депозитарних установах, на яких обліковуються акції Товариства, кожна із депозитарних установ приймає бюлетень для голосування на Загальних зборах лише щодо тієї кількості акцій, права на які обліковуються на рахунку в цінних паперах, що обслуговується такою депозитарною установою.</w:t>
            </w:r>
          </w:p>
          <w:p>
            <w:pPr>
              <w:pStyle w:val="Normal"/>
              <w:ind w:firstLine="270"/>
              <w:jc w:val="both"/>
              <w:rPr>
                <w:rFonts w:ascii="Times New Roman" w:hAnsi="Times New Roman" w:cs="Times New Roman"/>
                <w:lang w:val="ru-RU"/>
              </w:rPr>
            </w:pPr>
            <w:r>
              <w:rPr>
                <w:rFonts w:cs="Times New Roman" w:ascii="Times New Roman" w:hAnsi="Times New Roman"/>
                <w:lang w:val="ru-RU"/>
              </w:rPr>
              <w:t>У випадку подання бюлетеня для голосування, підписаного представником акціонера, до бюлетеня для голосування додаються документи, що підтверджують повноваження такого представника акціонера або їх належним чином засвідчені копії.</w:t>
            </w:r>
          </w:p>
          <w:p>
            <w:pPr>
              <w:pStyle w:val="Normal"/>
              <w:ind w:firstLine="270"/>
              <w:jc w:val="both"/>
              <w:rPr>
                <w:rFonts w:ascii="Times New Roman" w:hAnsi="Times New Roman" w:cs="Times New Roman"/>
                <w:lang w:val="ru-RU"/>
              </w:rPr>
            </w:pPr>
            <w:r>
              <w:rPr>
                <w:rFonts w:cs="Times New Roman" w:ascii="Times New Roman" w:hAnsi="Times New Roman"/>
                <w:lang w:val="ru-RU"/>
              </w:rPr>
              <w:t>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w:t>
            </w:r>
          </w:p>
          <w:p>
            <w:pPr>
              <w:pStyle w:val="Normal"/>
              <w:ind w:firstLine="270"/>
              <w:jc w:val="both"/>
              <w:rPr>
                <w:rFonts w:ascii="Times New Roman" w:hAnsi="Times New Roman" w:cs="Times New Roman"/>
                <w:lang w:val="ru-RU"/>
              </w:rPr>
            </w:pPr>
            <w:r>
              <w:rPr>
                <w:rFonts w:cs="Times New Roman" w:ascii="Times New Roman" w:hAnsi="Times New Roman"/>
                <w:lang w:val="ru-RU"/>
              </w:rPr>
              <w:t>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w:t>
            </w:r>
          </w:p>
          <w:p>
            <w:pPr>
              <w:pStyle w:val="Normal"/>
              <w:ind w:firstLine="270"/>
              <w:jc w:val="both"/>
              <w:rPr>
                <w:rFonts w:ascii="Times New Roman" w:hAnsi="Times New Roman" w:cs="Times New Roman"/>
                <w:lang w:val="ru-RU"/>
              </w:rPr>
            </w:pPr>
            <w:r>
              <w:rPr>
                <w:rFonts w:cs="Times New Roman" w:ascii="Times New Roman" w:hAnsi="Times New Roman"/>
                <w:lang w:val="ru-RU"/>
              </w:rPr>
              <w:t>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державним чи комунальним майном.</w:t>
            </w:r>
          </w:p>
          <w:p>
            <w:pPr>
              <w:pStyle w:val="Normal"/>
              <w:ind w:firstLine="270"/>
              <w:jc w:val="both"/>
              <w:rPr>
                <w:rFonts w:ascii="Times New Roman" w:hAnsi="Times New Roman" w:cs="Times New Roman"/>
                <w:lang w:val="ru-RU"/>
              </w:rPr>
            </w:pPr>
            <w:r>
              <w:rPr>
                <w:rFonts w:cs="Times New Roman" w:ascii="Times New Roman" w:hAnsi="Times New Roman"/>
                <w:lang w:val="ru-RU"/>
              </w:rPr>
              <w:t>Акціонер має право призначити свого представника постійно або на певний строк.</w:t>
            </w:r>
          </w:p>
          <w:p>
            <w:pPr>
              <w:pStyle w:val="Normal"/>
              <w:ind w:firstLine="270"/>
              <w:jc w:val="both"/>
              <w:rPr>
                <w:rFonts w:ascii="Times New Roman" w:hAnsi="Times New Roman" w:cs="Times New Roman"/>
                <w:lang w:val="ru-RU"/>
              </w:rPr>
            </w:pPr>
            <w:r>
              <w:rPr>
                <w:rFonts w:cs="Times New Roman" w:ascii="Times New Roman" w:hAnsi="Times New Roman"/>
                <w:lang w:val="ru-RU"/>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pPr>
              <w:pStyle w:val="Normal"/>
              <w:ind w:firstLine="270"/>
              <w:jc w:val="both"/>
              <w:rPr>
                <w:rFonts w:ascii="Times New Roman" w:hAnsi="Times New Roman" w:cs="Times New Roman"/>
                <w:lang w:val="ru-RU"/>
              </w:rPr>
            </w:pPr>
            <w:r>
              <w:rPr>
                <w:rFonts w:cs="Times New Roman" w:ascii="Times New Roman" w:hAnsi="Times New Roman"/>
                <w:lang w:val="ru-RU"/>
              </w:rPr>
              <w:t>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w:t>
            </w:r>
          </w:p>
          <w:p>
            <w:pPr>
              <w:pStyle w:val="Normal"/>
              <w:ind w:firstLine="270"/>
              <w:jc w:val="both"/>
              <w:rPr>
                <w:rFonts w:ascii="Times New Roman" w:hAnsi="Times New Roman" w:cs="Times New Roman"/>
                <w:lang w:val="ru-RU"/>
              </w:rPr>
            </w:pPr>
            <w:r>
              <w:rPr>
                <w:rFonts w:cs="Times New Roman" w:ascii="Times New Roman" w:hAnsi="Times New Roman"/>
                <w:lang w:val="ru-RU"/>
              </w:rPr>
              <w:t>Акціонер має право видати довіреність на право участі та голосування на Загальних зборах декільком своїм представникам.</w:t>
            </w:r>
          </w:p>
          <w:p>
            <w:pPr>
              <w:pStyle w:val="Normal"/>
              <w:ind w:firstLine="270"/>
              <w:jc w:val="both"/>
              <w:rPr>
                <w:rFonts w:ascii="Times New Roman" w:hAnsi="Times New Roman" w:cs="Times New Roman"/>
                <w:lang w:val="ru-RU"/>
              </w:rPr>
            </w:pPr>
            <w:r>
              <w:rPr>
                <w:rFonts w:cs="Times New Roman" w:ascii="Times New Roman" w:hAnsi="Times New Roman"/>
                <w:lang w:val="ru-RU"/>
              </w:rPr>
              <w:t>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w:t>
            </w:r>
          </w:p>
          <w:p>
            <w:pPr>
              <w:pStyle w:val="Normal"/>
              <w:ind w:firstLine="270"/>
              <w:jc w:val="both"/>
              <w:rPr>
                <w:rFonts w:ascii="Times New Roman" w:hAnsi="Times New Roman" w:cs="Times New Roman"/>
                <w:lang w:val="ru-RU"/>
              </w:rPr>
            </w:pPr>
            <w:r>
              <w:rPr>
                <w:rFonts w:cs="Times New Roman" w:ascii="Times New Roman" w:hAnsi="Times New Roman"/>
                <w:lang w:val="ru-RU"/>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pPr>
              <w:pStyle w:val="Normal"/>
              <w:spacing w:before="120" w:after="120"/>
              <w:ind w:firstLine="270"/>
              <w:jc w:val="both"/>
              <w:rPr>
                <w:rFonts w:ascii="Times New Roman" w:hAnsi="Times New Roman" w:cs="Times New Roman"/>
                <w:lang w:val="ru-RU"/>
              </w:rPr>
            </w:pPr>
            <w:r>
              <w:rPr>
                <w:rFonts w:cs="Times New Roman" w:ascii="Times New Roman" w:hAnsi="Times New Roman"/>
                <w:lang w:val="ru-RU"/>
              </w:rPr>
              <w:t>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w:t>
            </w:r>
          </w:p>
          <w:p>
            <w:pPr>
              <w:pStyle w:val="Normal"/>
              <w:spacing w:before="120" w:after="120"/>
              <w:ind w:firstLine="270"/>
              <w:jc w:val="both"/>
              <w:rPr>
                <w:rFonts w:ascii="Times New Roman" w:hAnsi="Times New Roman" w:cs="Times New Roman"/>
                <w:lang w:val="ru-RU"/>
              </w:rPr>
            </w:pPr>
            <w:r>
              <w:rPr>
                <w:rFonts w:cs="Times New Roman" w:ascii="Times New Roman" w:hAnsi="Times New Roman"/>
                <w:lang w:val="ru-RU"/>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tc>
      </w:tr>
      <w:tr>
        <w:trPr>
          <w:trHeight w:val="40" w:hRule="atLeast"/>
        </w:trPr>
        <w:tc>
          <w:tcPr>
            <w:tcW w:w="2968"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Дата і час початку та завершення голосування за допомогою авторизованої електронної системи</w:t>
            </w:r>
            <w:r>
              <w:rPr>
                <w:rFonts w:eastAsia="Times New Roman" w:cs="Times New Roman" w:ascii="Times New Roman" w:hAnsi="Times New Roman"/>
                <w:b/>
                <w:bCs/>
                <w:vertAlign w:val="superscript"/>
              </w:rPr>
              <w:t>-5</w:t>
            </w:r>
          </w:p>
        </w:tc>
        <w:tc>
          <w:tcPr>
            <w:tcW w:w="639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40" w:hRule="atLeast"/>
        </w:trPr>
        <w:tc>
          <w:tcPr>
            <w:tcW w:w="2968"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Дата і час початку та завершення надсилання до депозитарної установи бюлетенів для голосування</w:t>
            </w:r>
            <w:r>
              <w:rPr>
                <w:rFonts w:eastAsia="Times New Roman" w:cs="Times New Roman" w:ascii="Times New Roman" w:hAnsi="Times New Roman"/>
                <w:b/>
                <w:bCs/>
                <w:vertAlign w:val="superscript"/>
              </w:rPr>
              <w:t>-6</w:t>
            </w:r>
          </w:p>
        </w:tc>
        <w:tc>
          <w:tcPr>
            <w:tcW w:w="6391" w:type="dxa"/>
            <w:tcBorders>
              <w:top w:val="single" w:sz="6" w:space="0" w:color="000000"/>
              <w:left w:val="single" w:sz="6" w:space="0" w:color="000000"/>
              <w:bottom w:val="single" w:sz="6" w:space="0" w:color="000000"/>
              <w:right w:val="single" w:sz="6" w:space="0" w:color="000000"/>
            </w:tcBorders>
          </w:tcPr>
          <w:p>
            <w:pPr>
              <w:pStyle w:val="Normal"/>
              <w:spacing w:before="120" w:after="120"/>
              <w:jc w:val="both"/>
              <w:rPr>
                <w:rFonts w:ascii="Times New Roman" w:hAnsi="Times New Roman" w:cs="Times New Roman"/>
              </w:rPr>
            </w:pPr>
            <w:r>
              <w:rPr>
                <w:rFonts w:cs="Times New Roman" w:ascii="Times New Roman" w:hAnsi="Times New Roman"/>
              </w:rPr>
              <w:t xml:space="preserve">Датою початку голосування акціонерів з відповідних питань порядку денного є дата розміщення на вебсайті відповідного бюлетеню для голосування у вільному для акціонерів доступі (Голосування на загальних зборах розпочинається з 11 години дня, який зазначено як дата розміщення бюлетенів для голосування (03.11.2024р.). </w:t>
            </w:r>
          </w:p>
          <w:p>
            <w:pPr>
              <w:pStyle w:val="Normal"/>
              <w:spacing w:before="120" w:after="120"/>
              <w:jc w:val="both"/>
              <w:rPr>
                <w:rFonts w:ascii="Times New Roman" w:hAnsi="Times New Roman" w:cs="Times New Roman"/>
                <w:lang w:val="ru-RU"/>
              </w:rPr>
            </w:pPr>
            <w:r>
              <w:rPr>
                <w:rFonts w:cs="Times New Roman" w:ascii="Times New Roman" w:hAnsi="Times New Roman"/>
                <w:lang w:val="ru-RU"/>
              </w:rPr>
              <w:t xml:space="preserve">Датою закінчення голосування акціонерів є дата проведення Загальних зборів – </w:t>
            </w:r>
            <w:r>
              <w:rPr>
                <w:rFonts w:cs="Times New Roman" w:ascii="Times New Roman" w:hAnsi="Times New Roman"/>
                <w:lang w:val="uk-UA"/>
              </w:rPr>
              <w:t>12</w:t>
            </w:r>
            <w:r>
              <w:rPr>
                <w:rFonts w:cs="Times New Roman" w:ascii="Times New Roman" w:hAnsi="Times New Roman"/>
                <w:lang w:val="ru-RU"/>
              </w:rPr>
              <w:t>.</w:t>
            </w:r>
            <w:r>
              <w:rPr>
                <w:rFonts w:cs="Times New Roman" w:ascii="Times New Roman" w:hAnsi="Times New Roman"/>
                <w:lang w:val="uk-UA"/>
              </w:rPr>
              <w:t>11</w:t>
            </w:r>
            <w:r>
              <w:rPr>
                <w:rFonts w:cs="Times New Roman" w:ascii="Times New Roman" w:hAnsi="Times New Roman"/>
                <w:lang w:val="ru-RU"/>
              </w:rPr>
              <w:t>.2024р. (</w:t>
            </w:r>
            <w:r>
              <w:rPr>
                <w:rFonts w:ascii="Times New Roman" w:hAnsi="Times New Roman"/>
                <w:iCs/>
                <w:lang w:eastAsia="ru-RU"/>
              </w:rPr>
              <w:t>дата завершення голосування 12.11.2024</w:t>
            </w:r>
            <w:r>
              <w:rPr>
                <w:rFonts w:ascii="Times New Roman" w:hAnsi="Times New Roman"/>
                <w:iCs/>
                <w:lang w:val="ru-RU" w:eastAsia="ru-RU"/>
              </w:rPr>
              <w:t>р.</w:t>
            </w:r>
            <w:r>
              <w:rPr>
                <w:rFonts w:ascii="Times New Roman" w:hAnsi="Times New Roman"/>
                <w:iCs/>
                <w:lang w:eastAsia="ru-RU"/>
              </w:rPr>
              <w:t xml:space="preserve"> о 18.00</w:t>
            </w:r>
            <w:r>
              <w:rPr>
                <w:rFonts w:cs="Times New Roman" w:ascii="Times New Roman" w:hAnsi="Times New Roman"/>
                <w:lang w:val="ru-RU"/>
              </w:rPr>
              <w:t xml:space="preserve">). </w:t>
            </w:r>
          </w:p>
          <w:p>
            <w:pPr>
              <w:pStyle w:val="Normal"/>
              <w:spacing w:before="120" w:after="120"/>
              <w:jc w:val="both"/>
              <w:rPr>
                <w:rFonts w:ascii="Times New Roman" w:hAnsi="Times New Roman" w:cs="Times New Roman"/>
              </w:rPr>
            </w:pPr>
            <w:r>
              <w:rPr>
                <w:rFonts w:cs="Times New Roman" w:ascii="Times New Roman" w:hAnsi="Times New Roman"/>
              </w:rPr>
              <w:t>Бюлетень для голосування на Загальних зборах засвідчується кваліфікованим електронним підписом акціонера (його представника) та/або іншим засобом електронної ідентифікації, що відповідає вимогам, визначеним Національною комісією з цінних паперів та фондового ринку.</w:t>
            </w:r>
          </w:p>
        </w:tc>
      </w:tr>
      <w:tr>
        <w:trPr>
          <w:trHeight w:val="40" w:hRule="atLeast"/>
        </w:trPr>
        <w:tc>
          <w:tcPr>
            <w:tcW w:w="2968"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Дані про мету зменшення розміру статутного капіталу та спосіб, у який буде проведено таку процедуру</w:t>
            </w:r>
            <w:r>
              <w:rPr>
                <w:rFonts w:eastAsia="Times New Roman" w:cs="Times New Roman" w:ascii="Times New Roman" w:hAnsi="Times New Roman"/>
                <w:b/>
                <w:bCs/>
                <w:vertAlign w:val="superscript"/>
              </w:rPr>
              <w:t>-7</w:t>
            </w:r>
          </w:p>
        </w:tc>
        <w:tc>
          <w:tcPr>
            <w:tcW w:w="639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40" w:hRule="atLeast"/>
        </w:trPr>
        <w:tc>
          <w:tcPr>
            <w:tcW w:w="2968"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Інші відомості, передбачені законодавством</w:t>
            </w:r>
            <w:r>
              <w:rPr>
                <w:rFonts w:eastAsia="Times New Roman" w:cs="Times New Roman" w:ascii="Times New Roman" w:hAnsi="Times New Roman"/>
                <w:b/>
                <w:bCs/>
                <w:vertAlign w:val="superscript"/>
              </w:rPr>
              <w:t>-8</w:t>
            </w:r>
          </w:p>
        </w:tc>
        <w:tc>
          <w:tcPr>
            <w:tcW w:w="639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both"/>
              <w:rPr>
                <w:rFonts w:ascii="Times New Roman" w:hAnsi="Times New Roman" w:cs="Times New Roman"/>
                <w:lang w:val="ru-RU"/>
              </w:rPr>
            </w:pPr>
            <w:r>
              <w:rPr>
                <w:rFonts w:cs="Times New Roman" w:ascii="Times New Roman" w:hAnsi="Times New Roman"/>
                <w:lang w:val="ru-RU"/>
              </w:rPr>
              <w:t xml:space="preserve">ПрАТ «Новоолександрівське»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w:t>
            </w:r>
            <w:r>
              <w:rPr>
                <w:rFonts w:eastAsia="Calibri" w:cs="Times New Roman" w:ascii="Times New Roman" w:hAnsi="Times New Roman" w:eastAsiaTheme="minorHAnsi"/>
                <w:color w:val="auto"/>
                <w:kern w:val="0"/>
                <w:sz w:val="22"/>
                <w:szCs w:val="22"/>
                <w:lang w:val="uk-UA" w:eastAsia="en-US" w:bidi="ar-SA"/>
              </w:rPr>
              <w:t>Позачергов</w:t>
            </w:r>
            <w:r>
              <w:rPr>
                <w:rFonts w:cs="Times New Roman" w:ascii="Times New Roman" w:hAnsi="Times New Roman"/>
                <w:lang w:val="ru-RU"/>
              </w:rPr>
              <w:t>их Загальних зборах акціонерів.</w:t>
            </w:r>
          </w:p>
        </w:tc>
      </w:tr>
      <w:tr>
        <w:trPr>
          <w:trHeight w:val="40" w:hRule="atLeast"/>
        </w:trPr>
        <w:tc>
          <w:tcPr>
            <w:tcW w:w="2968"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639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lang w:val="ru-RU"/>
              </w:rPr>
            </w:pPr>
            <w:r>
              <w:rPr>
                <w:rFonts w:eastAsia="Times New Roman" w:cs="Times New Roman" w:ascii="Times New Roman" w:hAnsi="Times New Roman"/>
              </w:rPr>
              <w:t>Протокол №</w:t>
            </w:r>
            <w:r>
              <w:rPr>
                <w:rFonts w:eastAsia="Times New Roman" w:cs="Times New Roman" w:ascii="Times New Roman" w:hAnsi="Times New Roman"/>
                <w:highlight w:val="white"/>
                <w:lang w:val="uk-UA"/>
              </w:rPr>
              <w:t xml:space="preserve"> 21/10/24 </w:t>
            </w:r>
            <w:r>
              <w:rPr>
                <w:rFonts w:eastAsia="Times New Roman" w:cs="Times New Roman" w:ascii="Times New Roman" w:hAnsi="Times New Roman"/>
              </w:rPr>
              <w:t>Наглядової ради ПрАТ «Новоолександрівське» від 21.10.2024</w:t>
            </w:r>
            <w:r>
              <w:rPr>
                <w:rFonts w:eastAsia="Times New Roman" w:cs="Times New Roman" w:ascii="Times New Roman" w:hAnsi="Times New Roman"/>
                <w:lang w:val="ru-RU"/>
              </w:rPr>
              <w:t xml:space="preserve"> р.</w:t>
            </w:r>
          </w:p>
        </w:tc>
      </w:tr>
      <w:tr>
        <w:trPr>
          <w:trHeight w:val="40" w:hRule="atLeast"/>
        </w:trPr>
        <w:tc>
          <w:tcPr>
            <w:tcW w:w="2968"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b/>
                <w:b/>
                <w:bCs/>
              </w:rPr>
            </w:pPr>
            <w:r>
              <w:rPr>
                <w:rFonts w:eastAsia="Times New Roman" w:cs="Times New Roman" w:ascii="Times New Roman" w:hAnsi="Times New Roman"/>
                <w:b/>
                <w:bCs/>
              </w:rPr>
              <w:t>Дата складання повідомлення</w:t>
            </w:r>
          </w:p>
        </w:tc>
        <w:tc>
          <w:tcPr>
            <w:tcW w:w="6391" w:type="dxa"/>
            <w:tcBorders>
              <w:top w:val="single" w:sz="6" w:space="0" w:color="000000"/>
              <w:left w:val="single" w:sz="6" w:space="0" w:color="000000"/>
              <w:bottom w:val="single" w:sz="6" w:space="0" w:color="000000"/>
              <w:right w:val="single" w:sz="6" w:space="0" w:color="000000"/>
            </w:tcBorders>
          </w:tcPr>
          <w:p>
            <w:pPr>
              <w:pStyle w:val="Normal"/>
              <w:spacing w:lineRule="auto" w:line="240" w:before="150" w:after="150"/>
              <w:rPr>
                <w:rFonts w:ascii="Times New Roman" w:hAnsi="Times New Roman" w:eastAsia="Times New Roman" w:cs="Times New Roman"/>
                <w:lang w:val="ru-RU"/>
              </w:rPr>
            </w:pPr>
            <w:r>
              <w:rPr>
                <w:rFonts w:eastAsia="Times New Roman" w:cs="Times New Roman" w:ascii="Times New Roman" w:hAnsi="Times New Roman"/>
              </w:rPr>
              <w:t>21.10.2024</w:t>
            </w:r>
            <w:r>
              <w:rPr>
                <w:rFonts w:eastAsia="Times New Roman" w:cs="Times New Roman" w:ascii="Times New Roman" w:hAnsi="Times New Roman"/>
                <w:lang w:val="ru-RU"/>
              </w:rPr>
              <w:t xml:space="preserve"> р.</w:t>
            </w:r>
          </w:p>
        </w:tc>
      </w:tr>
    </w:tbl>
    <w:p>
      <w:pPr>
        <w:pStyle w:val="Normal"/>
        <w:shd w:val="clear" w:color="auto" w:fill="FFFFFF"/>
        <w:spacing w:lineRule="auto" w:line="240" w:before="150" w:after="150"/>
        <w:rPr>
          <w:rFonts w:ascii="Times New Roman" w:hAnsi="Times New Roman" w:eastAsia="Times New Roman" w:cs="Times New Roman"/>
          <w:sz w:val="20"/>
          <w:szCs w:val="20"/>
        </w:rPr>
      </w:pPr>
      <w:bookmarkStart w:id="4" w:name="n1283"/>
      <w:bookmarkEnd w:id="4"/>
      <w:r>
        <w:rPr>
          <w:rFonts w:eastAsia="Times New Roman" w:cs="Times New Roman" w:ascii="Times New Roman" w:hAnsi="Times New Roman"/>
          <w:b/>
          <w:bCs/>
          <w:color w:val="333333"/>
          <w:sz w:val="20"/>
          <w:szCs w:val="20"/>
          <w:vertAlign w:val="superscript"/>
        </w:rPr>
        <w:t>-5</w:t>
      </w:r>
      <w:r>
        <w:rPr>
          <w:rFonts w:eastAsia="Times New Roman" w:cs="Times New Roman" w:ascii="Times New Roman" w:hAnsi="Times New Roman"/>
          <w:color w:val="333333"/>
          <w:sz w:val="20"/>
          <w:szCs w:val="20"/>
        </w:rPr>
        <w:t> </w:t>
      </w:r>
      <w:r>
        <w:rPr>
          <w:rFonts w:eastAsia="Times New Roman" w:cs="Times New Roman" w:ascii="Times New Roman" w:hAnsi="Times New Roman"/>
          <w:sz w:val="20"/>
          <w:szCs w:val="20"/>
        </w:rPr>
        <w:t>У разі проведення електронних загальних зборів.</w:t>
        <w:br/>
      </w:r>
      <w:r>
        <w:rPr>
          <w:rFonts w:eastAsia="Times New Roman" w:cs="Times New Roman" w:ascii="Times New Roman" w:hAnsi="Times New Roman"/>
          <w:b/>
          <w:bCs/>
          <w:sz w:val="20"/>
          <w:szCs w:val="20"/>
          <w:vertAlign w:val="superscript"/>
        </w:rPr>
        <w:t>-6</w:t>
      </w:r>
      <w:r>
        <w:rPr>
          <w:rFonts w:eastAsia="Times New Roman" w:cs="Times New Roman" w:ascii="Times New Roman" w:hAnsi="Times New Roman"/>
          <w:sz w:val="20"/>
          <w:szCs w:val="20"/>
        </w:rPr>
        <w:t> У разі проведення дистанційних загальних зборів.</w:t>
        <w:br/>
      </w:r>
      <w:r>
        <w:rPr>
          <w:rFonts w:eastAsia="Times New Roman" w:cs="Times New Roman" w:ascii="Times New Roman" w:hAnsi="Times New Roman"/>
          <w:b/>
          <w:bCs/>
          <w:sz w:val="20"/>
          <w:szCs w:val="20"/>
          <w:vertAlign w:val="superscript"/>
        </w:rPr>
        <w:t>-7</w:t>
      </w:r>
      <w:r>
        <w:rPr>
          <w:rFonts w:eastAsia="Times New Roman" w:cs="Times New Roman" w:ascii="Times New Roman" w:hAnsi="Times New Roman"/>
          <w:sz w:val="20"/>
          <w:szCs w:val="20"/>
        </w:rPr>
        <w:t> У разі включення до порядку денного питання про зменшення розміру статутного капіталу акціонерного товариства.</w:t>
        <w:br/>
      </w:r>
      <w:r>
        <w:rPr>
          <w:rFonts w:eastAsia="Times New Roman" w:cs="Times New Roman" w:ascii="Times New Roman" w:hAnsi="Times New Roman"/>
          <w:b/>
          <w:bCs/>
          <w:sz w:val="20"/>
          <w:szCs w:val="20"/>
          <w:vertAlign w:val="superscript"/>
        </w:rPr>
        <w:t>-8</w:t>
      </w:r>
      <w:r>
        <w:rPr>
          <w:rFonts w:eastAsia="Times New Roman" w:cs="Times New Roman" w:ascii="Times New Roman" w:hAnsi="Times New Roman"/>
          <w:sz w:val="20"/>
          <w:szCs w:val="20"/>
        </w:rPr>
        <w:t> У разі, якщо законодавством передбачені інші відомості, які підлягають розкриттю в повідомленні про проведення (скликання) загальних зборів акціонерного товариства.</w:t>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shd w:val="clear" w:color="auto" w:fill="FFFFFF"/>
        <w:spacing w:lineRule="auto" w:line="240" w:before="150" w:after="150"/>
        <w:rPr>
          <w:rFonts w:ascii="Times New Roman" w:hAnsi="Times New Roman" w:eastAsia="Times New Roman" w:cs="Times New Roman"/>
          <w:sz w:val="20"/>
          <w:szCs w:val="20"/>
        </w:rPr>
      </w:pPr>
      <w:r>
        <w:rPr/>
      </w:r>
    </w:p>
    <w:sectPr>
      <w:type w:val="nextPage"/>
      <w:pgSz w:w="11906" w:h="16838"/>
      <w:pgMar w:left="1701" w:right="849"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540" w:hanging="360"/>
      </w:pPr>
      <w:rPr>
        <w:i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540" w:hanging="360"/>
      </w:pPr>
      <w:rPr>
        <w:i w:val="false"/>
      </w:rPr>
    </w:lvl>
    <w:lvl w:ilvl="1">
      <w:start w:val="1"/>
      <w:numFmt w:val="decimal"/>
      <w:lvlText w:val="%1.%2"/>
      <w:lvlJc w:val="left"/>
      <w:pPr>
        <w:ind w:left="615" w:hanging="435"/>
      </w:pPr>
    </w:lvl>
    <w:lvl w:ilvl="2">
      <w:start w:val="1"/>
      <w:numFmt w:val="decimal"/>
      <w:lvlText w:val="%1.%2.%3"/>
      <w:lvlJc w:val="left"/>
      <w:pPr>
        <w:ind w:left="900" w:hanging="720"/>
      </w:pPr>
    </w:lvl>
    <w:lvl w:ilvl="3">
      <w:start w:val="1"/>
      <w:numFmt w:val="decimal"/>
      <w:lvlText w:val="%1.%2.%3.%4"/>
      <w:lvlJc w:val="left"/>
      <w:pPr>
        <w:ind w:left="900" w:hanging="720"/>
      </w:pPr>
    </w:lvl>
    <w:lvl w:ilvl="4">
      <w:start w:val="1"/>
      <w:numFmt w:val="decimal"/>
      <w:lvlText w:val="%1.%2.%3.%4.%5"/>
      <w:lvlJc w:val="left"/>
      <w:pPr>
        <w:ind w:left="1260" w:hanging="1080"/>
      </w:pPr>
    </w:lvl>
    <w:lvl w:ilvl="5">
      <w:start w:val="1"/>
      <w:numFmt w:val="decimal"/>
      <w:lvlText w:val="%1.%2.%3.%4.%5.%6"/>
      <w:lvlJc w:val="left"/>
      <w:pPr>
        <w:ind w:left="1260" w:hanging="1080"/>
      </w:pPr>
    </w:lvl>
    <w:lvl w:ilvl="6">
      <w:start w:val="1"/>
      <w:numFmt w:val="decimal"/>
      <w:lvlText w:val="%1.%2.%3.%4.%5.%6.%7"/>
      <w:lvlJc w:val="left"/>
      <w:pPr>
        <w:ind w:left="1620" w:hanging="1440"/>
      </w:pPr>
    </w:lvl>
    <w:lvl w:ilvl="7">
      <w:start w:val="1"/>
      <w:numFmt w:val="decimal"/>
      <w:lvlText w:val="%1.%2.%3.%4.%5.%6.%7.%8"/>
      <w:lvlJc w:val="left"/>
      <w:pPr>
        <w:ind w:left="1620" w:hanging="1440"/>
      </w:pPr>
    </w:lvl>
    <w:lvl w:ilvl="8">
      <w:start w:val="1"/>
      <w:numFmt w:val="decimal"/>
      <w:lvlText w:val="%1.%2.%3.%4.%5.%6.%7.%8.%9"/>
      <w:lvlJc w:val="left"/>
      <w:pPr>
        <w:ind w:left="1620" w:hanging="144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uk-UA"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等线" w:asciiTheme="minorHAnsi" w:cstheme="minorBidi" w:eastAsiaTheme="minorHAnsi" w:hAnsiTheme="minorHAnsi"/>
        <w:lang w:val="uk-UA"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0" w:semiHidden="0" w:unhideWhenUsed="0"/>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0"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uiPriority="39" w:semiHidden="0" w:unhideWhenUsed="0"/>
    <w:lsdException w:name="Table Theme" w:uiPriority="99"/>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List Paragraph"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suppressAutoHyphens w:val="true"/>
      <w:bidi w:val="0"/>
      <w:spacing w:lineRule="auto" w:line="259" w:before="0" w:after="160"/>
      <w:jc w:val="left"/>
    </w:pPr>
    <w:rPr>
      <w:rFonts w:ascii="Calibri" w:hAnsi="Calibri" w:eastAsia="Calibri" w:cs="等线" w:asciiTheme="minorHAnsi" w:cstheme="minorBidi" w:eastAsiaTheme="minorHAnsi" w:hAnsiTheme="minorHAnsi"/>
      <w:color w:val="auto"/>
      <w:kern w:val="0"/>
      <w:sz w:val="22"/>
      <w:szCs w:val="22"/>
      <w:lang w:val="uk-UA" w:eastAsia="en-US" w:bidi="ar-SA"/>
    </w:rPr>
  </w:style>
  <w:style w:type="character" w:styleId="DefaultParagraphFont" w:default="1">
    <w:name w:val="Default Paragraph Font"/>
    <w:uiPriority w:val="1"/>
    <w:semiHidden/>
    <w:unhideWhenUsed/>
    <w:qFormat/>
    <w:rPr/>
  </w:style>
  <w:style w:type="character" w:styleId="Strong">
    <w:name w:val="Strong"/>
    <w:uiPriority w:val="0"/>
    <w:qFormat/>
    <w:rPr>
      <w:b/>
      <w:bCs/>
    </w:rPr>
  </w:style>
  <w:style w:type="character" w:styleId="Style14" w:customStyle="1">
    <w:name w:val="Гіперпосилання"/>
    <w:uiPriority w:val="99"/>
    <w:qFormat/>
    <w:rPr>
      <w:color w:val="0000FF"/>
      <w:u w:val="single"/>
    </w:rPr>
  </w:style>
  <w:style w:type="character" w:styleId="Xfm39478944" w:customStyle="1">
    <w:name w:val="xfm_39478944"/>
    <w:basedOn w:val="DefaultParagraphFont"/>
    <w:uiPriority w:val="0"/>
    <w:qFormat/>
    <w:rPr/>
  </w:style>
  <w:style w:type="character" w:styleId="Rvts0" w:customStyle="1">
    <w:name w:val="rvts0"/>
    <w:basedOn w:val="DefaultParagraphFont"/>
    <w:uiPriority w:val="0"/>
    <w:qFormat/>
    <w:rPr/>
  </w:style>
  <w:style w:type="character" w:styleId="UnresolvedMention" w:customStyle="1">
    <w:name w:val="Unresolved Mention"/>
    <w:basedOn w:val="DefaultParagraphFont"/>
    <w:uiPriority w:val="99"/>
    <w:semiHidden/>
    <w:unhideWhenUsed/>
    <w:qFormat/>
    <w:rPr>
      <w:color w:val="605E5C"/>
      <w:shd w:fill="E1DFDD" w:val="clear"/>
    </w:rPr>
  </w:style>
  <w:style w:type="character" w:styleId="WW8Num1z0" w:customStyle="1">
    <w:name w:val="WW8Num1z0"/>
    <w:uiPriority w:val="0"/>
    <w:qFormat/>
    <w:rPr/>
  </w:style>
  <w:style w:type="character" w:styleId="WW8Num1z1" w:customStyle="1">
    <w:name w:val="WW8Num1z1"/>
    <w:uiPriority w:val="0"/>
    <w:qFormat/>
    <w:rPr/>
  </w:style>
  <w:style w:type="paragraph" w:styleId="Style15" w:customStyle="1">
    <w:name w:val="Заголовок"/>
    <w:basedOn w:val="Normal"/>
    <w:next w:val="Style16"/>
    <w:uiPriority w:val="0"/>
    <w:qFormat/>
    <w:pPr>
      <w:keepNext w:val="true"/>
      <w:spacing w:before="240" w:after="120"/>
    </w:pPr>
    <w:rPr>
      <w:rFonts w:ascii="Liberation Sans" w:hAnsi="Liberation Sans" w:eastAsia="Microsoft YaHei" w:cs="Arial"/>
      <w:sz w:val="28"/>
      <w:szCs w:val="28"/>
    </w:rPr>
  </w:style>
  <w:style w:type="paragraph" w:styleId="Style16">
    <w:name w:val="Body Text"/>
    <w:basedOn w:val="Normal"/>
    <w:uiPriority w:val="0"/>
    <w:pPr>
      <w:spacing w:lineRule="auto" w:line="276" w:before="0" w:after="140"/>
    </w:pPr>
    <w:rPr/>
  </w:style>
  <w:style w:type="paragraph" w:styleId="Style17">
    <w:name w:val="List"/>
    <w:basedOn w:val="Style16"/>
    <w:uiPriority w:val="0"/>
    <w:qFormat/>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customStyle="1">
    <w:name w:val="Покажчик"/>
    <w:basedOn w:val="Normal"/>
    <w:uiPriority w:val="0"/>
    <w:qFormat/>
    <w:pPr>
      <w:suppressLineNumbers/>
    </w:pPr>
    <w:rPr>
      <w:rFonts w:cs="Arial"/>
    </w:rPr>
  </w:style>
  <w:style w:type="paragraph" w:styleId="Caption">
    <w:name w:val="caption"/>
    <w:basedOn w:val="Normal"/>
    <w:uiPriority w:val="0"/>
    <w:qFormat/>
    <w:pPr>
      <w:suppressLineNumbers/>
      <w:spacing w:before="120" w:after="120"/>
    </w:pPr>
    <w:rPr>
      <w:rFonts w:cs="Arial"/>
      <w:i/>
      <w:iCs/>
      <w:sz w:val="24"/>
      <w:szCs w:val="24"/>
    </w:rPr>
  </w:style>
  <w:style w:type="paragraph" w:styleId="ListParagraph">
    <w:name w:val="List Paragraph"/>
    <w:basedOn w:val="Normal"/>
    <w:uiPriority w:val="0"/>
    <w:qFormat/>
    <w:pPr>
      <w:spacing w:lineRule="auto" w:line="240" w:before="0" w:after="0"/>
      <w:ind w:left="720" w:hanging="0"/>
      <w:contextualSpacing/>
    </w:pPr>
    <w:rPr>
      <w:rFonts w:ascii="Times New Roman" w:hAnsi="Times New Roman" w:eastAsia="Times New Roman" w:cs="Times New Roman"/>
      <w:sz w:val="24"/>
      <w:szCs w:val="24"/>
      <w:lang w:eastAsia="uk-UA"/>
    </w:rPr>
  </w:style>
  <w:style w:type="paragraph" w:styleId="Style20" w:customStyle="1">
    <w:name w:val="Вміст таблиці"/>
    <w:basedOn w:val="Normal"/>
    <w:uiPriority w:val="0"/>
    <w:qFormat/>
    <w:pPr>
      <w:suppressLineNumbers/>
    </w:pPr>
    <w:rPr/>
  </w:style>
  <w:style w:type="paragraph" w:styleId="Style21" w:customStyle="1">
    <w:name w:val="Заголовок таблиці"/>
    <w:basedOn w:val="Style20"/>
    <w:uiPriority w:val="0"/>
    <w:qFormat/>
    <w:pPr>
      <w:suppressLineNumbers/>
      <w:jc w:val="center"/>
    </w:pPr>
    <w:rPr>
      <w:b/>
      <w:bCs/>
    </w:rPr>
  </w:style>
  <w:style w:type="paragraph" w:styleId="Rvps2" w:customStyle="1">
    <w:name w:val="rvps2"/>
    <w:basedOn w:val="Normal"/>
    <w:uiPriority w:val="0"/>
    <w:qFormat/>
    <w:pPr>
      <w:suppressAutoHyphens w:val="false"/>
      <w:spacing w:lineRule="auto" w:line="240" w:before="280" w:after="280"/>
    </w:pPr>
    <w:rPr>
      <w:rFonts w:ascii="Times New Roman" w:hAnsi="Times New Roman" w:cs="Times New Roman"/>
      <w:sz w:val="24"/>
      <w:szCs w:val="24"/>
      <w:lang w:val="ru-RU"/>
    </w:rPr>
  </w:style>
  <w:style w:type="table" w:default="1" w:styleId="3">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_blank" TargetMode="External"/><Relationship Id="rId3" Type="http://schemas.openxmlformats.org/officeDocument/2006/relationships/hyperlink" Target="http://00412263.infosite.com.ua/" TargetMode="External"/><Relationship Id="rId4" Type="http://schemas.openxmlformats.org/officeDocument/2006/relationships/hyperlink" Target="mailto:n.alekcandrovskoe@ukr.net" TargetMode="External"/><Relationship Id="rId5" Type="http://schemas.openxmlformats.org/officeDocument/2006/relationships/hyperlink" Target="mailto:n.alekcandrovskoe@ukr.net" TargetMode="External"/><Relationship Id="rId6" Type="http://schemas.openxmlformats.org/officeDocument/2006/relationships/hyperlink" Target="mailto:n.alekcandrovskoe@ukr.net" TargetMode="External"/><Relationship Id="rId7" Type="http://schemas.openxmlformats.org/officeDocument/2006/relationships/hyperlink" Target="_blank" TargetMode="External"/><Relationship Id="rId8" Type="http://schemas.openxmlformats.org/officeDocument/2006/relationships/hyperlink" Target="_blank" TargetMode="External"/><Relationship Id="rId9" Type="http://schemas.openxmlformats.org/officeDocument/2006/relationships/hyperlink" Target="mailto:n.alekcandrovskoe@ukr.net" TargetMode="External"/><Relationship Id="rId10" Type="http://schemas.openxmlformats.org/officeDocument/2006/relationships/hyperlink" Target="mailto:n.alekcandrovskoe@ukr.net" TargetMode="Externa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E4BAC-6055-4239-80E3-A619FB8D0895}">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Application>LibreOffice/6.4.4.2$Windows_x86 LibreOffice_project/3d775be2011f3886db32dfd395a6a6d1ca2630ff</Application>
  <Pages>8</Pages>
  <Words>2071</Words>
  <Characters>14506</Characters>
  <CharactersWithSpaces>16523</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2024-05-21T05:49:00Z</dcterms:created>
  <dc:creator>Olena</dc:creator>
  <dc:description/>
  <dc:language>uk-UA</dc:language>
  <cp:lastModifiedBy/>
  <cp:lastPrinted>2024-05-24T14:09:00Z</cp:lastPrinted>
  <dcterms:modified xsi:type="dcterms:W3CDTF">2024-10-28T15:12:39Z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ICV">
    <vt:lpwstr>4D55A41899C04EB49CD9785912339514_12</vt:lpwstr>
  </property>
  <property fmtid="{D5CDD505-2E9C-101B-9397-08002B2CF9AE}" pid="6" name="KSOProductBuildVer">
    <vt:lpwstr>1033-12.2.0.18607</vt:lpwstr>
  </property>
  <property fmtid="{D5CDD505-2E9C-101B-9397-08002B2CF9AE}" pid="7" name="LinksUpToDate">
    <vt:bool>0</vt:bool>
  </property>
  <property fmtid="{D5CDD505-2E9C-101B-9397-08002B2CF9AE}" pid="8" name="ScaleCrop">
    <vt:bool>0</vt:bool>
  </property>
  <property fmtid="{D5CDD505-2E9C-101B-9397-08002B2CF9AE}" pid="9" name="ShareDoc">
    <vt:bool>0</vt:bool>
  </property>
</Properties>
</file>