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707CE2">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Титульний аркуш</w:t>
      </w:r>
    </w:p>
    <w:p w:rsidR="00000000" w:rsidRDefault="00707CE2">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500"/>
      </w:tblGrid>
      <w:tr w:rsidR="00000000" w:rsidRPr="00707CE2">
        <w:tblPrEx>
          <w:tblCellMar>
            <w:top w:w="0" w:type="dxa"/>
            <w:bottom w:w="0" w:type="dxa"/>
          </w:tblCellMar>
        </w:tblPrEx>
        <w:trPr>
          <w:trHeight w:val="300"/>
        </w:trPr>
        <w:tc>
          <w:tcPr>
            <w:tcW w:w="5500" w:type="dxa"/>
            <w:tcBorders>
              <w:top w:val="nil"/>
              <w:left w:val="nil"/>
              <w:bottom w:val="single" w:sz="6" w:space="0" w:color="auto"/>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17.06.2023</w:t>
            </w:r>
          </w:p>
        </w:tc>
      </w:tr>
      <w:tr w:rsidR="00000000" w:rsidRPr="00707CE2">
        <w:tblPrEx>
          <w:tblCellMar>
            <w:top w:w="0" w:type="dxa"/>
            <w:bottom w:w="0" w:type="dxa"/>
          </w:tblCellMar>
        </w:tblPrEx>
        <w:trPr>
          <w:trHeight w:val="300"/>
        </w:trPr>
        <w:tc>
          <w:tcPr>
            <w:tcW w:w="55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(дата реєстрації емітентом електронного документа)</w:t>
            </w:r>
          </w:p>
        </w:tc>
      </w:tr>
      <w:tr w:rsidR="00000000" w:rsidRPr="00707CE2">
        <w:tblPrEx>
          <w:tblCellMar>
            <w:top w:w="0" w:type="dxa"/>
            <w:bottom w:w="0" w:type="dxa"/>
          </w:tblCellMar>
        </w:tblPrEx>
        <w:trPr>
          <w:trHeight w:val="300"/>
        </w:trPr>
        <w:tc>
          <w:tcPr>
            <w:tcW w:w="5500" w:type="dxa"/>
            <w:tcBorders>
              <w:top w:val="nil"/>
              <w:left w:val="nil"/>
              <w:bottom w:val="single" w:sz="6" w:space="0" w:color="auto"/>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19</w:t>
            </w:r>
          </w:p>
        </w:tc>
      </w:tr>
      <w:tr w:rsidR="00000000" w:rsidRPr="00707CE2">
        <w:tblPrEx>
          <w:tblCellMar>
            <w:top w:w="0" w:type="dxa"/>
            <w:bottom w:w="0" w:type="dxa"/>
          </w:tblCellMar>
        </w:tblPrEx>
        <w:trPr>
          <w:trHeight w:val="300"/>
        </w:trPr>
        <w:tc>
          <w:tcPr>
            <w:tcW w:w="55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(вихідний реєстраційний номер електронного документа)</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0"/>
          <w:szCs w:val="20"/>
        </w:rPr>
        <w:tab/>
      </w:r>
      <w:r>
        <w:rPr>
          <w:rFonts w:ascii="Times New Roman CYR" w:hAnsi="Times New Roman CYR" w:cs="Times New Roman CYR"/>
          <w:sz w:val="24"/>
          <w:szCs w:val="24"/>
        </w:rPr>
        <w:t xml:space="preserve">Підтверджую ідентичність та достовірність інформації, що розкрита відповідно до вимог Положення про розкриття </w:t>
      </w:r>
      <w:r>
        <w:rPr>
          <w:rFonts w:ascii="Times New Roman CYR" w:hAnsi="Times New Roman CYR" w:cs="Times New Roman CYR"/>
          <w:sz w:val="24"/>
          <w:szCs w:val="24"/>
        </w:rPr>
        <w:t>інформації емітентами цінних паперів, затвердженого рішенням Національної комісії з цінних паперів та фондового ринку від 03 грудня 2013 року № 2826, зареєстрованого в Міністерстві юстиції України 24 грудня 2013 року за № 2180/24712 (із змінами) (далі - По</w:t>
      </w:r>
      <w:r>
        <w:rPr>
          <w:rFonts w:ascii="Times New Roman CYR" w:hAnsi="Times New Roman CYR" w:cs="Times New Roman CYR"/>
          <w:sz w:val="24"/>
          <w:szCs w:val="24"/>
        </w:rPr>
        <w:t>ложення).</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640"/>
        <w:gridCol w:w="236"/>
        <w:gridCol w:w="1354"/>
        <w:gridCol w:w="236"/>
        <w:gridCol w:w="4654"/>
      </w:tblGrid>
      <w:tr w:rsidR="00000000" w:rsidRPr="00707CE2">
        <w:tblPrEx>
          <w:tblCellMar>
            <w:top w:w="0" w:type="dxa"/>
            <w:bottom w:w="0" w:type="dxa"/>
          </w:tblCellMar>
        </w:tblPrEx>
        <w:trPr>
          <w:trHeight w:val="200"/>
        </w:trPr>
        <w:tc>
          <w:tcPr>
            <w:tcW w:w="3640" w:type="dxa"/>
            <w:tcBorders>
              <w:top w:val="nil"/>
              <w:left w:val="nil"/>
              <w:bottom w:val="single" w:sz="6" w:space="0" w:color="auto"/>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Директор</w:t>
            </w:r>
          </w:p>
        </w:tc>
        <w:tc>
          <w:tcPr>
            <w:tcW w:w="216" w:type="dxa"/>
            <w:tcBorders>
              <w:top w:val="nil"/>
              <w:left w:val="nil"/>
              <w:bottom w:val="nil"/>
              <w:right w:val="nil"/>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354" w:type="dxa"/>
            <w:tcBorders>
              <w:top w:val="nil"/>
              <w:left w:val="nil"/>
              <w:bottom w:val="single" w:sz="6" w:space="0" w:color="auto"/>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216" w:type="dxa"/>
            <w:tcBorders>
              <w:top w:val="nil"/>
              <w:left w:val="nil"/>
              <w:bottom w:val="nil"/>
              <w:right w:val="nil"/>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4654" w:type="dxa"/>
            <w:tcBorders>
              <w:top w:val="nil"/>
              <w:left w:val="nil"/>
              <w:bottom w:val="single" w:sz="6" w:space="0" w:color="auto"/>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Войтанiк Валерiй Олексiйович</w:t>
            </w:r>
          </w:p>
        </w:tc>
      </w:tr>
      <w:tr w:rsidR="00000000" w:rsidRPr="00707CE2">
        <w:tblPrEx>
          <w:tblCellMar>
            <w:top w:w="0" w:type="dxa"/>
            <w:bottom w:w="0" w:type="dxa"/>
          </w:tblCellMar>
        </w:tblPrEx>
        <w:trPr>
          <w:trHeight w:val="200"/>
        </w:trPr>
        <w:tc>
          <w:tcPr>
            <w:tcW w:w="3640" w:type="dxa"/>
            <w:tcBorders>
              <w:top w:val="nil"/>
              <w:left w:val="nil"/>
              <w:bottom w:val="nil"/>
              <w:right w:val="nil"/>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(посада)</w:t>
            </w:r>
          </w:p>
        </w:tc>
        <w:tc>
          <w:tcPr>
            <w:tcW w:w="216" w:type="dxa"/>
            <w:tcBorders>
              <w:top w:val="nil"/>
              <w:left w:val="nil"/>
              <w:bottom w:val="nil"/>
              <w:right w:val="nil"/>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p>
        </w:tc>
        <w:tc>
          <w:tcPr>
            <w:tcW w:w="1354" w:type="dxa"/>
            <w:tcBorders>
              <w:top w:val="nil"/>
              <w:left w:val="nil"/>
              <w:bottom w:val="nil"/>
              <w:right w:val="nil"/>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(підпис)</w:t>
            </w:r>
          </w:p>
        </w:tc>
        <w:tc>
          <w:tcPr>
            <w:tcW w:w="216" w:type="dxa"/>
            <w:tcBorders>
              <w:top w:val="nil"/>
              <w:left w:val="nil"/>
              <w:bottom w:val="nil"/>
              <w:right w:val="nil"/>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p>
        </w:tc>
        <w:tc>
          <w:tcPr>
            <w:tcW w:w="4654" w:type="dxa"/>
            <w:tcBorders>
              <w:top w:val="nil"/>
              <w:left w:val="nil"/>
              <w:bottom w:val="nil"/>
              <w:right w:val="nil"/>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(прізвище та ініціали керівника або уповноваженої особи емітента)</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Річна інформація емітента цінних паперів за 2022 рік</w:t>
      </w: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 Загальні відомості</w:t>
      </w: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Повне найменування емітента: Приватне акцiонерне товариство "Волинська фiрма "Одяг</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Організаційно-правова форма: Приватне акціонерне товариство</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Ідентифікаційний код юридичної особи: 01554158</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Місцезнаходження: 43020, Україна, Волинська обл., * р-</w:t>
      </w:r>
      <w:r>
        <w:rPr>
          <w:rFonts w:ascii="Times New Roman CYR" w:hAnsi="Times New Roman CYR" w:cs="Times New Roman CYR"/>
          <w:sz w:val="24"/>
          <w:szCs w:val="24"/>
        </w:rPr>
        <w:t>н, м. Луцьк, Рiвненська, 44</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Міжміський код, телефон та факс: (0332) 729 344, (0332) 240 542</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Адреса електронної пошти: baza-lutsk@ukr.net</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7. Дата та рішення наглядової ради емітента, яким затверджено річну інформацію, або дата та рішення загальних збо</w:t>
      </w:r>
      <w:r>
        <w:rPr>
          <w:rFonts w:ascii="Times New Roman CYR" w:hAnsi="Times New Roman CYR" w:cs="Times New Roman CYR"/>
          <w:sz w:val="24"/>
          <w:szCs w:val="24"/>
        </w:rPr>
        <w:t>рів акціонерів, яким затверджено річну інформацію емітента (за наявності): Рішення загальних зборів акціонерів від 28.04.2023, Затвердити результати фiнансово-господарської дiяльностi (рiчну фiнансову звiтнiсть) Товариства за 2021 та 2022 роки.</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8. Найменув</w:t>
      </w:r>
      <w:r>
        <w:rPr>
          <w:rFonts w:ascii="Times New Roman CYR" w:hAnsi="Times New Roman CYR" w:cs="Times New Roman CYR"/>
          <w:sz w:val="24"/>
          <w:szCs w:val="24"/>
        </w:rPr>
        <w:t>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фондовому ринку, особи, яка здійснює діяльність з оприлюднення регульованої інфо</w:t>
      </w:r>
      <w:r>
        <w:rPr>
          <w:rFonts w:ascii="Times New Roman CYR" w:hAnsi="Times New Roman CYR" w:cs="Times New Roman CYR"/>
          <w:sz w:val="24"/>
          <w:szCs w:val="24"/>
        </w:rPr>
        <w:t xml:space="preserve">рмації від імені учасника фондового ринку (у разі здійснення оприлюднення): </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9.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w:t>
      </w:r>
      <w:r>
        <w:rPr>
          <w:rFonts w:ascii="Times New Roman CYR" w:hAnsi="Times New Roman CYR" w:cs="Times New Roman CYR"/>
          <w:sz w:val="24"/>
          <w:szCs w:val="24"/>
        </w:rPr>
        <w:t>уги на фондовому ринку, особи, яка здійснює подання звітності та/або адміністративних даних до Національної комісії з цінних паперів та фондового ринку (у разі, якщо емітент не подає Інформацію до Національної комісії з цінних паперів та фондового ринку бе</w:t>
      </w:r>
      <w:r>
        <w:rPr>
          <w:rFonts w:ascii="Times New Roman CYR" w:hAnsi="Times New Roman CYR" w:cs="Times New Roman CYR"/>
          <w:sz w:val="24"/>
          <w:szCs w:val="24"/>
        </w:rPr>
        <w:t>зпосередньо): Державна установа "Агентство з розвитку iнфраструктури фондового ринку України", 21676262, Україна, DR/00002/ARM</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II. Дані про дату та місце оприлюднення річної інформації</w:t>
      </w: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450"/>
        <w:gridCol w:w="4130"/>
        <w:gridCol w:w="1500"/>
      </w:tblGrid>
      <w:tr w:rsidR="00000000" w:rsidRPr="00707CE2">
        <w:tblPrEx>
          <w:tblCellMar>
            <w:top w:w="0" w:type="dxa"/>
            <w:bottom w:w="0" w:type="dxa"/>
          </w:tblCellMar>
        </w:tblPrEx>
        <w:trPr>
          <w:trHeight w:val="300"/>
        </w:trPr>
        <w:tc>
          <w:tcPr>
            <w:tcW w:w="4450" w:type="dxa"/>
            <w:vMerge w:val="restart"/>
            <w:tcBorders>
              <w:top w:val="nil"/>
              <w:left w:val="nil"/>
              <w:bottom w:val="nil"/>
              <w:right w:val="nil"/>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Річну інформацію розміщено на власному веб-сайті учасника фондового ринку</w:t>
            </w:r>
          </w:p>
        </w:tc>
        <w:tc>
          <w:tcPr>
            <w:tcW w:w="4130" w:type="dxa"/>
            <w:tcBorders>
              <w:top w:val="nil"/>
              <w:left w:val="nil"/>
              <w:bottom w:val="single" w:sz="6" w:space="0" w:color="auto"/>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nil"/>
              <w:left w:val="nil"/>
              <w:bottom w:val="single" w:sz="6" w:space="0" w:color="auto"/>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300"/>
        </w:trPr>
        <w:tc>
          <w:tcPr>
            <w:tcW w:w="4450" w:type="dxa"/>
            <w:vMerge/>
            <w:tcBorders>
              <w:top w:val="nil"/>
              <w:left w:val="nil"/>
              <w:bottom w:val="nil"/>
              <w:right w:val="nil"/>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0"/>
                <w:szCs w:val="20"/>
              </w:rPr>
            </w:pPr>
          </w:p>
        </w:tc>
        <w:tc>
          <w:tcPr>
            <w:tcW w:w="413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(URL-адреса сторінки)</w:t>
            </w:r>
          </w:p>
        </w:tc>
        <w:tc>
          <w:tcPr>
            <w:tcW w:w="15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(дата)</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850" w:right="850" w:bottom="850" w:left="1400" w:header="720" w:footer="720" w:gutter="0"/>
          <w:cols w:space="720"/>
          <w:noEndnote/>
        </w:sect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lastRenderedPageBreak/>
        <w:t>Зміст</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8"/>
          <w:szCs w:val="28"/>
        </w:rPr>
        <w:tab/>
      </w:r>
      <w:r>
        <w:rPr>
          <w:rFonts w:ascii="Times New Roman CYR" w:hAnsi="Times New Roman CYR" w:cs="Times New Roman CYR"/>
          <w:sz w:val="24"/>
          <w:szCs w:val="24"/>
        </w:rPr>
        <w:t>Відмітьте (Х), якщо відповідна інформація міститься у річній інформації</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9000"/>
        <w:gridCol w:w="1000"/>
      </w:tblGrid>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 Основні відомості про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 Інформація про одержані ліцензії (дозволи) на окремі види діяльності</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 Відомості про участь емітента в інших юридичних особах</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4. Інформація щодо корпоративного секретаря</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5. Інформація про рейтингове агентство</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6. Інформація про наявність філіалі</w:t>
            </w:r>
            <w:r w:rsidRPr="00707CE2">
              <w:rPr>
                <w:rFonts w:ascii="Times New Roman CYR" w:eastAsiaTheme="minorEastAsia" w:hAnsi="Times New Roman CYR" w:cs="Times New Roman CYR"/>
                <w:sz w:val="24"/>
                <w:szCs w:val="24"/>
              </w:rPr>
              <w:t>в або інших відокремлених структурних підрозділів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7. Судові справи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8. Штрафні санкції щодо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9. Опис бізнесу</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10. Інформація про орга</w:t>
            </w:r>
            <w:r w:rsidRPr="00707CE2">
              <w:rPr>
                <w:rFonts w:ascii="Times New Roman CYR" w:eastAsiaTheme="minorEastAsia" w:hAnsi="Times New Roman CYR" w:cs="Times New Roman CYR"/>
                <w:sz w:val="24"/>
                <w:szCs w:val="24"/>
              </w:rPr>
              <w:t>ни управління емітента, його посадових осіб, засновників та/або учасників емітента та відсоток їх акцій (часток, паїв)</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 інформація про органи управління</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 інформація про посадових осіб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інформація щодо освіти та стажу роботи посадових осіб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інформація про володіння посадовими особами емітента акціями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інформація про будь-які винагороди або компенсації, які мають бути виплачені посадовим особам емітента в разі ї</w:t>
            </w:r>
            <w:r w:rsidRPr="00707CE2">
              <w:rPr>
                <w:rFonts w:ascii="Times New Roman CYR" w:eastAsiaTheme="minorEastAsia" w:hAnsi="Times New Roman CYR" w:cs="Times New Roman CYR"/>
                <w:sz w:val="24"/>
                <w:szCs w:val="24"/>
              </w:rPr>
              <w:t>х звільнення</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  інформація про засновників та/або учасників емітента, відсоток акцій (часток, паїв)</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11. Звіт керівництва (звіт про управління)</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 вірогідні перспективи подальшого розвитку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 інформація про розвиток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 інформація про укладення деривативів або вчинення правочинів щодо похідних цінних паперів емітентом, якщо це впливає на оцінку його активів, зобов'язань, фінансового стану і доходів або витрат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 завдання та політика емітента щодо управління </w:t>
            </w:r>
            <w:r w:rsidRPr="00707CE2">
              <w:rPr>
                <w:rFonts w:ascii="Times New Roman CYR" w:eastAsiaTheme="minorEastAsia" w:hAnsi="Times New Roman CYR" w:cs="Times New Roman CYR"/>
                <w:sz w:val="24"/>
                <w:szCs w:val="24"/>
              </w:rPr>
              <w:t>фінансовими ризиками, у тому числі політика щодо страхування кожного основного виду прогнозованої операції, для якої використовуються операції хеджування</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інформація про схильність емітента до цінових ризиків, кредитного ризику, ризику ліквідності та/а</w:t>
            </w:r>
            <w:r w:rsidRPr="00707CE2">
              <w:rPr>
                <w:rFonts w:ascii="Times New Roman CYR" w:eastAsiaTheme="minorEastAsia" w:hAnsi="Times New Roman CYR" w:cs="Times New Roman CYR"/>
                <w:sz w:val="24"/>
                <w:szCs w:val="24"/>
              </w:rPr>
              <w:t>бо ризику грошових потоків</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4) звіт про корпоративне управління</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власний кодекс корпоративного управління, яким керується емітент</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кодекс корпоративного управління фондової біржі, об'єднання юридичних осіб або інший кодекс корпоративного управління, який емітент добровільно вирішив застосовувати</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інформація про практику корпоративного управління, застосовувану понад визначені за</w:t>
            </w:r>
            <w:r w:rsidRPr="00707CE2">
              <w:rPr>
                <w:rFonts w:ascii="Times New Roman CYR" w:eastAsiaTheme="minorEastAsia" w:hAnsi="Times New Roman CYR" w:cs="Times New Roman CYR"/>
                <w:sz w:val="24"/>
                <w:szCs w:val="24"/>
              </w:rPr>
              <w:t>конодавством вимоги</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інформація про проведені загальні збори акціонерів (учасників)</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інформація про наглядову раду</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інформація про виконавчий орган</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опис основних характеристик систем внутрішнього контролю і управління ризиками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перелік осіб, які прямо або опосередковано є власниками значного пакета акцій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інформація про будь-які обмеження прав участі та голосування акціонерів (учасників) на загальних зборах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 порядок призначення та звільнення посадових </w:t>
            </w:r>
            <w:r w:rsidRPr="00707CE2">
              <w:rPr>
                <w:rFonts w:ascii="Times New Roman CYR" w:eastAsiaTheme="minorEastAsia" w:hAnsi="Times New Roman CYR" w:cs="Times New Roman CYR"/>
                <w:sz w:val="24"/>
                <w:szCs w:val="24"/>
              </w:rPr>
              <w:t>осіб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повноваження посадових осіб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lastRenderedPageBreak/>
              <w:t>12. Інформація про власників пакетів 5 і більше відсотків акцій із зазначенням відсотка, кількості, типу та/або класу належних їм акцій</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13. Інформація про зміну акціонерів, яким належать голосуючі акції, розмір пакета яких стає більшим, меншим або рівним пороговому значенню пакета акцій</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14. Інформація про зміну осіб, яким належить право голосу за акціями, сумарна кількість прав за якими </w:t>
            </w:r>
            <w:r w:rsidRPr="00707CE2">
              <w:rPr>
                <w:rFonts w:ascii="Times New Roman CYR" w:eastAsiaTheme="minorEastAsia" w:hAnsi="Times New Roman CYR" w:cs="Times New Roman CYR"/>
                <w:sz w:val="24"/>
                <w:szCs w:val="24"/>
              </w:rPr>
              <w:t>стає більшою, меншою або рівною пороговому значенню пакета акцій</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15. Інформація про зміну осіб, які є власниками фінансових інструментів, пов'язаних з голосуючими акціями акціонерного товариства, сумарна кількість прав за якими стає більшою, меншою або р</w:t>
            </w:r>
            <w:r w:rsidRPr="00707CE2">
              <w:rPr>
                <w:rFonts w:ascii="Times New Roman CYR" w:eastAsiaTheme="minorEastAsia" w:hAnsi="Times New Roman CYR" w:cs="Times New Roman CYR"/>
                <w:sz w:val="24"/>
                <w:szCs w:val="24"/>
              </w:rPr>
              <w:t>івною пороговому значенню пакета акцій</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16. Інформація про структуру капіталу, в тому числі із зазначенням типів та класів акцій, а також прав та обов'язків акціонерів (учасників)</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17. Інфор</w:t>
            </w:r>
            <w:r w:rsidRPr="00707CE2">
              <w:rPr>
                <w:rFonts w:ascii="Times New Roman CYR" w:eastAsiaTheme="minorEastAsia" w:hAnsi="Times New Roman CYR" w:cs="Times New Roman CYR"/>
                <w:sz w:val="24"/>
                <w:szCs w:val="24"/>
              </w:rPr>
              <w:t>мація про цінні папери емітента (вид, форма випуску, тип, кількість), наявність публічної пропозиції та/або допуску до торгів на фондовій біржі в частині включення до біржового реєстру</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 інформація про випуски акцій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 інформація про обліга</w:t>
            </w:r>
            <w:r w:rsidRPr="00707CE2">
              <w:rPr>
                <w:rFonts w:ascii="Times New Roman CYR" w:eastAsiaTheme="minorEastAsia" w:hAnsi="Times New Roman CYR" w:cs="Times New Roman CYR"/>
                <w:sz w:val="24"/>
                <w:szCs w:val="24"/>
              </w:rPr>
              <w:t>ції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 інформація про інші цінні папери, випущені емітентом</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4) інформація про похідні цінні папери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5) інформація про забезпечення випуску боргових цінних паперів</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6) інформація про придбання власних акцій емітентом протягом</w:t>
            </w:r>
            <w:r w:rsidRPr="00707CE2">
              <w:rPr>
                <w:rFonts w:ascii="Times New Roman CYR" w:eastAsiaTheme="minorEastAsia" w:hAnsi="Times New Roman CYR" w:cs="Times New Roman CYR"/>
                <w:sz w:val="24"/>
                <w:szCs w:val="24"/>
              </w:rPr>
              <w:t xml:space="preserve"> звітного періоду</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18. Звіт про стан об'єкта нерухомості (у разі емісії цільових облігацій підприємств, виконання зобов'язань за якими здійснюється шляхом передання об'єкта (частини об'єкта) житлового будівництва)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19. Інформація про наявність у власност</w:t>
            </w:r>
            <w:r w:rsidRPr="00707CE2">
              <w:rPr>
                <w:rFonts w:ascii="Times New Roman CYR" w:eastAsiaTheme="minorEastAsia" w:hAnsi="Times New Roman CYR" w:cs="Times New Roman CYR"/>
                <w:sz w:val="24"/>
                <w:szCs w:val="24"/>
              </w:rPr>
              <w:t>і працівників емітента цінних паперів (крім акцій) такого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20. Інформація про наявність у власності працівників емітента акцій у розмірі понад 0,1 відсотка розміру статутного капіталу такого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21. Інформація про будь-які обмеження щодо обігу цінних паперів емітента, в тому числі необхідність отримання від емітента або інших власників цінних паперів згоди на відчуження таких цінних паперів</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22. Інформація про загальну кількість голосуючих акцій </w:t>
            </w:r>
            <w:r w:rsidRPr="00707CE2">
              <w:rPr>
                <w:rFonts w:ascii="Times New Roman CYR" w:eastAsiaTheme="minorEastAsia" w:hAnsi="Times New Roman CYR" w:cs="Times New Roman CYR"/>
                <w:sz w:val="24"/>
                <w:szCs w:val="24"/>
              </w:rPr>
              <w:t>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23. Інформація про виплату дивідендів та інших доходів за цінними паперами</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24. Інформація про господарську та фінансову діяльність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 інформація про основні засоби емітента (за залишковою вартістю)</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 інформація щодо вартості чистих активів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 інформація про зобов'язання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4) інформація про обсяги виробництва та реалізації основних видів продукції</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5) інформація про собівартість реалізованої продукції</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6) інформація про осіб, послугами яких користується емітент</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25. Інформація про прийняття рішення про попереднє надання з</w:t>
            </w:r>
            <w:r w:rsidRPr="00707CE2">
              <w:rPr>
                <w:rFonts w:ascii="Times New Roman CYR" w:eastAsiaTheme="minorEastAsia" w:hAnsi="Times New Roman CYR" w:cs="Times New Roman CYR"/>
                <w:sz w:val="24"/>
                <w:szCs w:val="24"/>
              </w:rPr>
              <w:t>годи на вчинення значних правочинів</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26. Інформація про вчинення значних правочинів</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27. Інформація про вчинення правочинів, щодо вчинення яких є заінтересованість</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28. Інформація про осіб, заінтересованих</w:t>
            </w:r>
            <w:r w:rsidRPr="00707CE2">
              <w:rPr>
                <w:rFonts w:ascii="Times New Roman CYR" w:eastAsiaTheme="minorEastAsia" w:hAnsi="Times New Roman CYR" w:cs="Times New Roman CYR"/>
                <w:sz w:val="24"/>
                <w:szCs w:val="24"/>
              </w:rPr>
              <w:t xml:space="preserve"> у вчиненні товариством правочинів із заінтересованістю, та обставини, існування яких створює заінтересованість</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29. Річна фінансова звітність</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30. Відомості про аудиторський звіт незалежного аудитора, наданий за результатами аудиту фінансової звітності</w:t>
            </w:r>
            <w:r w:rsidRPr="00707CE2">
              <w:rPr>
                <w:rFonts w:ascii="Times New Roman CYR" w:eastAsiaTheme="minorEastAsia" w:hAnsi="Times New Roman CYR" w:cs="Times New Roman CYR"/>
                <w:sz w:val="24"/>
                <w:szCs w:val="24"/>
              </w:rPr>
              <w:t xml:space="preserve"> емітента аудитором (аудиторською фірмою)</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lastRenderedPageBreak/>
              <w:t>31. Річна фінансова звітність поручителя (страховика/гаранта), що здійснює забезпечення випуску боргових цінних паперів (за кожним суб'єктом забезпечення окремо)</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32. Твердження щодо річної інформації</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33. Інформація про акціонерні або корпоративні договори, укладені акціонерами (учасниками) такого емітента, яка наявна в емітента</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34. Інформація про будь-які договори та/або правочини, умовою чинності яких є незмінність осіб, які здійснюють контроль над </w:t>
            </w:r>
            <w:r w:rsidRPr="00707CE2">
              <w:rPr>
                <w:rFonts w:ascii="Times New Roman CYR" w:eastAsiaTheme="minorEastAsia" w:hAnsi="Times New Roman CYR" w:cs="Times New Roman CYR"/>
                <w:sz w:val="24"/>
                <w:szCs w:val="24"/>
              </w:rPr>
              <w:t>емітентом</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35. Відомості щодо особливої інформації та інформації про іпотечні цінні папери, що виникала протягом звітного періоду</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36. Інформація про випуски іпотечних облігацій</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37. Інформація про склад, структуру і розмір іпотечного покриття</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 інформація про розмір іпотечного покриття та його співвідношення з розміром (сумою) зобов'язань за іпотечними облігаціями з цим іпотечним покриттям</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 інформація щодо співвідношення розміру іпотечного покриття з розміром (сумою) зобов'язань за іпотечн</w:t>
            </w:r>
            <w:r w:rsidRPr="00707CE2">
              <w:rPr>
                <w:rFonts w:ascii="Times New Roman CYR" w:eastAsiaTheme="minorEastAsia" w:hAnsi="Times New Roman CYR" w:cs="Times New Roman CYR"/>
                <w:sz w:val="24"/>
                <w:szCs w:val="24"/>
              </w:rPr>
              <w:t>ими облігаціями з цим іпотечним покриттям на кожну дату після змін іпотечних активів у складі іпотечного покриття, які відбулися протягом звітного періоду</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 інформація про заміни іпотечних активів у складі іпотечного покриття або включення нових іпотечн</w:t>
            </w:r>
            <w:r w:rsidRPr="00707CE2">
              <w:rPr>
                <w:rFonts w:ascii="Times New Roman CYR" w:eastAsiaTheme="minorEastAsia" w:hAnsi="Times New Roman CYR" w:cs="Times New Roman CYR"/>
                <w:sz w:val="24"/>
                <w:szCs w:val="24"/>
              </w:rPr>
              <w:t>их активів до складу іпотечного покриття</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4) відомості про структуру іпотечного покриття іпотечних облігацій за видами іпотечних активів та інших активів на кінець звітного періоду</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5) відомості щодо підстав виникнення у емітента іпотечних облігацій прав на іпотечні активи, які складають іпотечне покриття станом на кінець звітного року</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38. Інформація про наявність прострочених боржником строків сплати чергових платежів за кредитними</w:t>
            </w:r>
            <w:r w:rsidRPr="00707CE2">
              <w:rPr>
                <w:rFonts w:ascii="Times New Roman CYR" w:eastAsiaTheme="minorEastAsia" w:hAnsi="Times New Roman CYR" w:cs="Times New Roman CYR"/>
                <w:sz w:val="24"/>
                <w:szCs w:val="24"/>
              </w:rPr>
              <w:t xml:space="preserve"> договорами (договорами позики), права вимоги за якими забезпечено іпотеками, які включено до складу іпотечного покриття</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39. Інформація про випуски іпотечних сертифікатів</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40. Інформація щодо реєстру іпотечних активів</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41. Основні відомості про ФОН</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42. Інформація про випуски сертифікатів ФОН</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43. Інформація про осіб, що володіють сертифікатами ФОН</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44. Розрахунок вартості чистих активів ФОН</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9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45. Правила ФОН</w:t>
            </w:r>
          </w:p>
        </w:tc>
        <w:tc>
          <w:tcPr>
            <w:tcW w:w="1000" w:type="dxa"/>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10000" w:type="dxa"/>
            <w:gridSpan w:val="2"/>
            <w:tcBorders>
              <w:top w:val="nil"/>
              <w:left w:val="nil"/>
              <w:bottom w:val="nil"/>
              <w:right w:val="nil"/>
            </w:tcBorders>
            <w:vAlign w:val="bottom"/>
          </w:tcPr>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46. Примітки:</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46. Примiтки:</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Дiяльнiсть не лiцензується.</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Емiтент не брав участi  в створеннi юридичних осiб.</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Посада корпоративного секретаря  вiдсутня.</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Товариство не проходило рейтингову   оцiнку.</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Фiлiали або iншi вiдокремленi структурнi пiдроздiли не створенi.</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Емiтент не бере участi у судових справах.</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Штра</w:t>
            </w:r>
            <w:r w:rsidRPr="00707CE2">
              <w:rPr>
                <w:rFonts w:ascii="Times New Roman CYR" w:eastAsiaTheme="minorEastAsia" w:hAnsi="Times New Roman CYR" w:cs="Times New Roman CYR"/>
                <w:sz w:val="24"/>
                <w:szCs w:val="24"/>
              </w:rPr>
              <w:t xml:space="preserve">фнi санкцiї у звiтному перiодi не накладались. </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lastRenderedPageBreak/>
              <w:t>Будь-якi винагороди або компенсацiї посадовим особам емiтента в разi їх звiльнення  не передбаченi.</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 звiтному роцi змiна акцiонерiв, яким належать голосуючi акцiї, розмiр пакета яких стає бiльшим, меншим а</w:t>
            </w:r>
            <w:r w:rsidRPr="00707CE2">
              <w:rPr>
                <w:rFonts w:ascii="Times New Roman CYR" w:eastAsiaTheme="minorEastAsia" w:hAnsi="Times New Roman CYR" w:cs="Times New Roman CYR"/>
                <w:sz w:val="24"/>
                <w:szCs w:val="24"/>
              </w:rPr>
              <w:t xml:space="preserve">бо рiвним пороговому значенню пакета акцiй, не вiдбувалась. </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В звiтному роцi змiна осiб, яким належить право голосу за акцiями, сумарна кiлькiсть прав за якими стає бiльшою, меншою або рiвною пороговому значенню пакета акцiй,  не вiдбувалась. </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 Змiна ос</w:t>
            </w:r>
            <w:r w:rsidRPr="00707CE2">
              <w:rPr>
                <w:rFonts w:ascii="Times New Roman CYR" w:eastAsiaTheme="minorEastAsia" w:hAnsi="Times New Roman CYR" w:cs="Times New Roman CYR"/>
                <w:sz w:val="24"/>
                <w:szCs w:val="24"/>
              </w:rPr>
              <w:t xml:space="preserve">iб, якi є власниками фiнансових iнструментiв, пов'язаних з голосуючими акцiями акцiонерного товариства, сумарна кiлькiсть прав за якими стає бiльшою, меншою або рiвною пороговому значенню пакета акцiй - в звiтному роцi не вiдбувалась. </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Iншi цiннi папери, </w:t>
            </w:r>
            <w:r w:rsidRPr="00707CE2">
              <w:rPr>
                <w:rFonts w:ascii="Times New Roman CYR" w:eastAsiaTheme="minorEastAsia" w:hAnsi="Times New Roman CYR" w:cs="Times New Roman CYR"/>
                <w:sz w:val="24"/>
                <w:szCs w:val="24"/>
              </w:rPr>
              <w:t xml:space="preserve"> крiм акцiй  емiтентом не випускались.</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Викуп власних акцiй не здiйснювався.</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У власностi працiвникiв емiтента iншi  цiннi папери (крiм акцiй)  вiдсутнi. </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Будь-якi обмеження щодо обiгу цiнних паперiв емiтента, в тому числi необхiднiсть отримання вiд емiтента або iнших власникiв цiнних паперiв згоди на вiдчуження таких цiнних паперiв вiдсутнi.</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Рiшення про виплату  дивiдендiв  не приймалось.</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Iнформацiя про о</w:t>
            </w:r>
            <w:r w:rsidRPr="00707CE2">
              <w:rPr>
                <w:rFonts w:ascii="Times New Roman CYR" w:eastAsiaTheme="minorEastAsia" w:hAnsi="Times New Roman CYR" w:cs="Times New Roman CYR"/>
                <w:sz w:val="24"/>
                <w:szCs w:val="24"/>
              </w:rPr>
              <w:t>бсяги виробництва та реалiзацiї основних видiв продукцiї вiдсутня, в зв'язку з тим, що товариство не займається видами дiяльностi, що класифiкуються як переробна, добувна промисловiсть або виробництво та розподiлення електроенергiї, газу та води за класифi</w:t>
            </w:r>
            <w:r w:rsidRPr="00707CE2">
              <w:rPr>
                <w:rFonts w:ascii="Times New Roman CYR" w:eastAsiaTheme="minorEastAsia" w:hAnsi="Times New Roman CYR" w:cs="Times New Roman CYR"/>
                <w:sz w:val="24"/>
                <w:szCs w:val="24"/>
              </w:rPr>
              <w:t xml:space="preserve">катором видiв економiчної дiяльностi. </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Iнформацiя про собiвартiсть реалiзованої продукцiї вiдсутня, в зв'язку з тим, що товариство не займається видами дiяльностi, що класифiкуються як переробна, добувна промисловiсть або виробництво та розподiлення елект</w:t>
            </w:r>
            <w:r w:rsidRPr="00707CE2">
              <w:rPr>
                <w:rFonts w:ascii="Times New Roman CYR" w:eastAsiaTheme="minorEastAsia" w:hAnsi="Times New Roman CYR" w:cs="Times New Roman CYR"/>
                <w:sz w:val="24"/>
                <w:szCs w:val="24"/>
              </w:rPr>
              <w:t>роенергiї, газу та води за класифiкатором видiв економiчної дiяльностi.</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 </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Рiшення про попереднє надання згоди на вчинення значних правочинiв  не приймалось.</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Рiшення   про  вчинення значних правочинiв i правочинiв щодо вчинення яких є заiнтересованiсть не </w:t>
            </w:r>
            <w:r w:rsidRPr="00707CE2">
              <w:rPr>
                <w:rFonts w:ascii="Times New Roman CYR" w:eastAsiaTheme="minorEastAsia" w:hAnsi="Times New Roman CYR" w:cs="Times New Roman CYR"/>
                <w:sz w:val="24"/>
                <w:szCs w:val="24"/>
              </w:rPr>
              <w:t>приймались.</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У Емiтента вiдсутня iнформацiя про наявнiсть корпоративних договорiв, укладених акцiонерами (учасниками). </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Емiтент не володiє iнформацiєю про наявнiсть будь-яких договорiв та/або правочинiв, умовою чинностi яких є незмiннiсть осiб, якi здiйсн</w:t>
            </w:r>
            <w:r w:rsidRPr="00707CE2">
              <w:rPr>
                <w:rFonts w:ascii="Times New Roman CYR" w:eastAsiaTheme="minorEastAsia" w:hAnsi="Times New Roman CYR" w:cs="Times New Roman CYR"/>
                <w:sz w:val="24"/>
                <w:szCs w:val="24"/>
              </w:rPr>
              <w:t>юють контроль над емiтентом.</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Аудит фiнансової звiтностi емiтента, що здiйснив приватне розмiщення акцiй, чинним законодавством не передбачений.</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Висловлення думки аудитора щодо звiту про управлiння чинним законодавством не </w:t>
            </w:r>
            <w:r w:rsidRPr="00707CE2">
              <w:rPr>
                <w:rFonts w:ascii="Times New Roman CYR" w:eastAsiaTheme="minorEastAsia" w:hAnsi="Times New Roman CYR" w:cs="Times New Roman CYR"/>
                <w:sz w:val="24"/>
                <w:szCs w:val="24"/>
              </w:rPr>
              <w:lastRenderedPageBreak/>
              <w:t>передбачено.</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Особлива iнформацi</w:t>
            </w:r>
            <w:r w:rsidRPr="00707CE2">
              <w:rPr>
                <w:rFonts w:ascii="Times New Roman CYR" w:eastAsiaTheme="minorEastAsia" w:hAnsi="Times New Roman CYR" w:cs="Times New Roman CYR"/>
                <w:sz w:val="24"/>
                <w:szCs w:val="24"/>
              </w:rPr>
              <w:t>я не виникала.</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20" w:footer="720" w:gutter="0"/>
          <w:cols w:space="720"/>
          <w:noEndnote/>
        </w:sect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ІІІ. Основні відомості про емітента</w:t>
      </w: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 Повне найменування</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ab/>
        <w:t>Приватне акцiонерне товариство "Волинська фiрма "Одяг</w:t>
      </w: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2. Скорочене найменування (за наявності)</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ПРАТ "ВОЛИНСЬКА ФIРМА "ОДЯГ"</w:t>
      </w: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3. Дата проведення державної реєстрації</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16.10.1992</w:t>
      </w: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4. Територія (область)</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Волинська обл.</w:t>
      </w: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5. Статутний капітал (грн) </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1032000</w:t>
      </w: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Відсоток акцій у статутному капіталі, що належать державі</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Відсоток акцій (часток, паїв) статутного капіталу, що передано до статутного капіталу державного (наці</w:t>
      </w:r>
      <w:r>
        <w:rPr>
          <w:rFonts w:ascii="Times New Roman CYR" w:hAnsi="Times New Roman CYR" w:cs="Times New Roman CYR"/>
          <w:b/>
          <w:bCs/>
          <w:sz w:val="24"/>
          <w:szCs w:val="24"/>
        </w:rPr>
        <w:t>онального) акціонерного товариства та/або холдингової компанії</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0</w:t>
      </w: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8. Середня кількість працівників (осіб)</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10</w:t>
      </w: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9. Основні види діяльності із зазначенням найменування виду діяльності та коду за КВЕД</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r>
        <w:rPr>
          <w:rFonts w:ascii="Times New Roman CYR" w:hAnsi="Times New Roman CYR" w:cs="Times New Roman CYR"/>
          <w:sz w:val="24"/>
          <w:szCs w:val="24"/>
        </w:rPr>
        <w:t>68.20 - Надання в оренду й експлуатацiю власного чи орендованого нерухомого майна</w:t>
      </w: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10. Банки, що обслуговують емітента</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1) найменування банку (філії, відділення банку), який обслуговує емітента за поточним рахунком у національній валюті</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Фiлiя ВОУ AT "Ощадба</w:t>
      </w:r>
      <w:r>
        <w:rPr>
          <w:rFonts w:ascii="Times New Roman CYR" w:hAnsi="Times New Roman CYR" w:cs="Times New Roman CYR"/>
          <w:sz w:val="24"/>
          <w:szCs w:val="24"/>
        </w:rPr>
        <w:t>нк" м.Луцьк, МФО 303398</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2) IBAN</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UA 35 3033980000026000300078790</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3) поточний рахунок</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UA 35 3033980000026000300078790</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4) найменування банку (філії, відділення банку), який обслуговує емітента за поточним рахунком у іноземній валюті</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t xml:space="preserve">, МФО </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5) IBAN</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6) пот</w:t>
      </w:r>
      <w:r>
        <w:rPr>
          <w:rFonts w:ascii="Times New Roman CYR" w:hAnsi="Times New Roman CYR" w:cs="Times New Roman CYR"/>
          <w:sz w:val="24"/>
          <w:szCs w:val="24"/>
        </w:rPr>
        <w:t>очний рахунок</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ab/>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 Опис бізнесу</w:t>
      </w: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Зміни в організаційній структурі відповідно до попередніх звітних періодів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змiн в органiзацiйнiй структурi не вiдбулось.</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Cередньооблікова чисельність штатних працівників облікового складу (осіб), середня чисельність поза</w:t>
      </w:r>
      <w:r>
        <w:rPr>
          <w:rFonts w:ascii="Times New Roman CYR" w:hAnsi="Times New Roman CYR" w:cs="Times New Roman CYR"/>
          <w:b/>
          <w:bCs/>
          <w:sz w:val="24"/>
          <w:szCs w:val="24"/>
        </w:rPr>
        <w:t>штатних працівників та осіб, які працюють за сумісництвом (осіб), чисельність працівників, які працюють на умовах неповного робочого часу (дня, тижня) (осіб), фонду оплати праці. Крім того, зазначаються факти зміни розміру фонду оплати праці, його збільшен</w:t>
      </w:r>
      <w:r>
        <w:rPr>
          <w:rFonts w:ascii="Times New Roman CYR" w:hAnsi="Times New Roman CYR" w:cs="Times New Roman CYR"/>
          <w:b/>
          <w:bCs/>
          <w:sz w:val="24"/>
          <w:szCs w:val="24"/>
        </w:rPr>
        <w:t>ня або зменшення відносно попереднього року. Зазначається кадрова програма емітента, спрямована на забезпечення рівня кваліфікації її працівників операційним потребам емітента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Середньооблiкова чисельнiсть штатних працiвникiв облiкового складу (осiб) - 10. Середня чисельнiсть позаштатних працiвникiв та сумiсникiв (осiб) - 2/ Чисельнiсть працiвникiв, якi </w:t>
      </w:r>
      <w:r>
        <w:rPr>
          <w:rFonts w:ascii="Times New Roman CYR" w:hAnsi="Times New Roman CYR" w:cs="Times New Roman CYR"/>
          <w:sz w:val="24"/>
          <w:szCs w:val="24"/>
        </w:rPr>
        <w:lastRenderedPageBreak/>
        <w:t>працюють на умовах неповного робочого часу (дня, тижня) (осiб) - 0. Фонд опла</w:t>
      </w:r>
      <w:r>
        <w:rPr>
          <w:rFonts w:ascii="Times New Roman CYR" w:hAnsi="Times New Roman CYR" w:cs="Times New Roman CYR"/>
          <w:sz w:val="24"/>
          <w:szCs w:val="24"/>
        </w:rPr>
        <w:t xml:space="preserve">ти працi - всього (тис. грн.) -  2589,7 тис. грн. Розмiр оплати працi у звiтному 2022 роцi проти аналогiчного перiоду 2021 року збiльшився на  874,9 тис.грн.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Кадрова програма емiтента, спрямована на забезпечення рiвня квалiфiкацiї її працiвникiв операцiйн</w:t>
      </w:r>
      <w:r>
        <w:rPr>
          <w:rFonts w:ascii="Times New Roman CYR" w:hAnsi="Times New Roman CYR" w:cs="Times New Roman CYR"/>
          <w:sz w:val="24"/>
          <w:szCs w:val="24"/>
        </w:rPr>
        <w:t>им потребам емiтента полягає в матерiальному заохоченi працiвникiв, тобто своєчаснiй виплатi заробiтної плати, соцiальних виплат та компенсацiй працiвникам, покращеннi умов та ефективностi працi.</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Належність емітента до будь-яких об'єднань підприємств, на</w:t>
      </w:r>
      <w:r>
        <w:rPr>
          <w:rFonts w:ascii="Times New Roman CYR" w:hAnsi="Times New Roman CYR" w:cs="Times New Roman CYR"/>
          <w:b/>
          <w:bCs/>
          <w:sz w:val="24"/>
          <w:szCs w:val="24"/>
        </w:rPr>
        <w:t>йменування та місцезнаходження об'єднання,  зазначаються опис діяльності об'єднання, функції та термін участі емітента у відповідному об'єднанні, позиції емітента в структурі об'єднання</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 не належить до будь-яких об`єднань пiдприємств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Cпільна діяльн</w:t>
      </w:r>
      <w:r>
        <w:rPr>
          <w:rFonts w:ascii="Times New Roman CYR" w:hAnsi="Times New Roman CYR" w:cs="Times New Roman CYR"/>
          <w:b/>
          <w:bCs/>
          <w:sz w:val="24"/>
          <w:szCs w:val="24"/>
        </w:rPr>
        <w:t>ість, яку емітент проводить з іншими організаціями, підприємствами, установами, при цьому вказуються сума вкладів, мета вкладів (отримання прибутку, інші цілі) та отриманий фінансовий результат за звітний рік по кожному виду спільної діяльності</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Емiтент не </w:t>
      </w:r>
      <w:r>
        <w:rPr>
          <w:rFonts w:ascii="Times New Roman CYR" w:hAnsi="Times New Roman CYR" w:cs="Times New Roman CYR"/>
          <w:sz w:val="24"/>
          <w:szCs w:val="24"/>
        </w:rPr>
        <w:t>проводить спiльну дiяльнiсть з iншими органiзацiями,пiдприємствами,установами, тому вiдсутня iнформацiя щодо їх дiяльностi.</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Будь-які пропозиції щодо реорганізації з боку третіх осіб, що мали місце протягом звітного періоду, умови та результати цих пропози</w:t>
      </w:r>
      <w:r>
        <w:rPr>
          <w:rFonts w:ascii="Times New Roman CYR" w:hAnsi="Times New Roman CYR" w:cs="Times New Roman CYR"/>
          <w:b/>
          <w:bCs/>
          <w:sz w:val="24"/>
          <w:szCs w:val="24"/>
        </w:rPr>
        <w:t>цій</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Будь-яких пропозицiй з боку третiх осiб щодо реорганiзацiї протягом звiтного перiоду емiтент не отримував.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обраної облікової політики (метод нарахування амортизації, метод оцінки вартості запасів, метод обліку та оцінки вартості фінансових інвес</w:t>
      </w:r>
      <w:r>
        <w:rPr>
          <w:rFonts w:ascii="Times New Roman CYR" w:hAnsi="Times New Roman CYR" w:cs="Times New Roman CYR"/>
          <w:b/>
          <w:bCs/>
          <w:sz w:val="24"/>
          <w:szCs w:val="24"/>
        </w:rPr>
        <w:t>тицій тощо)</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Фiнансова звiтнiсть Товариства станом на 31.12.2022 року в усiх суттєвих аспектах достовiрно та повно подає фiнансову iнформацiю про Товариство станом на 31.12.2022 р. згiдно з нормативними вимогами щодо органiзацiї бухгалтерського облiку та зв</w:t>
      </w:r>
      <w:r>
        <w:rPr>
          <w:rFonts w:ascii="Times New Roman CYR" w:hAnsi="Times New Roman CYR" w:cs="Times New Roman CYR"/>
          <w:sz w:val="24"/>
          <w:szCs w:val="24"/>
        </w:rPr>
        <w:t>iтностi в Українi.</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Бухгалтерський облiк на Товариствi протягом 2022 року вiвся в цiлому у вiдповiдностi до вимог Закону України "Про бухгалтерський облiк та фiнансову звiтнiсть в Українi" № 996-XIV вiд 16.07.99 року, вiдповiдно до Нацiональних положень (ст</w:t>
      </w:r>
      <w:r>
        <w:rPr>
          <w:rFonts w:ascii="Times New Roman CYR" w:hAnsi="Times New Roman CYR" w:cs="Times New Roman CYR"/>
          <w:sz w:val="24"/>
          <w:szCs w:val="24"/>
        </w:rPr>
        <w:t>андартiв) бухгалтерського облiку та Iнструкцiї "Про застосування плану рахункiв бухгалтерського облiку активiв, капiталу, зобов'язань та господарських операцiй пiдприємств та органiзацiй", затвердженої Наказом Мiнфiну України вiд 30.11.99 № 291 та iнших но</w:t>
      </w:r>
      <w:r>
        <w:rPr>
          <w:rFonts w:ascii="Times New Roman CYR" w:hAnsi="Times New Roman CYR" w:cs="Times New Roman CYR"/>
          <w:sz w:val="24"/>
          <w:szCs w:val="24"/>
        </w:rPr>
        <w:t xml:space="preserve">рмативних документiв з питань органiзацiї облiку.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Одиницею облiку основних засобiв на пiдприємствi є об'єкт основних засобiв, що вiдповiдає критерiям визначеним вiдповiдно до Положення (стандарту) бухгалтерського облiку 7 "Основнi засоби". Придбанi основн</w:t>
      </w:r>
      <w:r>
        <w:rPr>
          <w:rFonts w:ascii="Times New Roman CYR" w:hAnsi="Times New Roman CYR" w:cs="Times New Roman CYR"/>
          <w:sz w:val="24"/>
          <w:szCs w:val="24"/>
        </w:rPr>
        <w:t>i засоби зараховувались на баланс за первiсною вартiстю. Синтетичний та аналiтичний облiк основних засобiв ведеться по окремих групах в розрiзi окремих об'єктiв.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Амортизацiя основних засобiв розраховується прямолiнiйним методом вiдповiдно до строкiв корисн</w:t>
      </w:r>
      <w:r>
        <w:rPr>
          <w:rFonts w:ascii="Times New Roman CYR" w:hAnsi="Times New Roman CYR" w:cs="Times New Roman CYR"/>
          <w:sz w:val="24"/>
          <w:szCs w:val="24"/>
        </w:rPr>
        <w:t>ої служби, погодженим з персоналом пiдприємства наступним чином:</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Класи основних засобiв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Будiвлi та споруди 20-50 рокiв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Машини та устаткування 10-15 рокiв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Транспортнi засоби 5-15 рокiв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Iнструмент, прилади та iнвентар 5-10 рокiв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Об'єктом амортизацiї являютьс</w:t>
      </w:r>
      <w:r>
        <w:rPr>
          <w:rFonts w:ascii="Times New Roman CYR" w:hAnsi="Times New Roman CYR" w:cs="Times New Roman CYR"/>
          <w:sz w:val="24"/>
          <w:szCs w:val="24"/>
        </w:rPr>
        <w:t>я усi основнi засоби (крiм вартостi землi i незавершених капiтальних iнвестицiй).</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Амортизацiя основних засобiв нараховується за прямолiнiйним методом, за яким рiчна сума амортизацiї визначається дiленням вартостi, яка амортизується, на строк корисного вико</w:t>
      </w:r>
      <w:r>
        <w:rPr>
          <w:rFonts w:ascii="Times New Roman CYR" w:hAnsi="Times New Roman CYR" w:cs="Times New Roman CYR"/>
          <w:sz w:val="24"/>
          <w:szCs w:val="24"/>
        </w:rPr>
        <w:t>ристання кожного об'єкта основних засобiв. При визначеннi строку корисного використання Товариством враховується очiкуване використання об'єкта пiдприємством з урахуванням його потужностi та продуктивностi. Незавершенi капiтальнi iнвестицiї не амортизуютьс</w:t>
      </w:r>
      <w:r>
        <w:rPr>
          <w:rFonts w:ascii="Times New Roman CYR" w:hAnsi="Times New Roman CYR" w:cs="Times New Roman CYR"/>
          <w:sz w:val="24"/>
          <w:szCs w:val="24"/>
        </w:rPr>
        <w:t xml:space="preserve">я.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Об'єктом амортизацiї являються усi основнi засоби (крiм вартостi землi i незавершених капiтальних iнвестицiй).</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види продукції або послуг, що їх виробляє чи надає емітент, за рахунок продажу яких емітент отримав 10 або більше відсотків доходу за звітний рік, у тому числі обсяги виробництва (у натуральному та грошовому виразі), середньо реалізаційні ціни, сум</w:t>
      </w:r>
      <w:r>
        <w:rPr>
          <w:rFonts w:ascii="Times New Roman CYR" w:hAnsi="Times New Roman CYR" w:cs="Times New Roman CYR"/>
          <w:b/>
          <w:bCs/>
          <w:sz w:val="24"/>
          <w:szCs w:val="24"/>
        </w:rPr>
        <w:t>у виручки, окремо надається інформація про загальну суму експорту, а також частку експорту в загальному обсязі продажів, перспективність виробництва окремих товарів, виконання робіт та надання послуг; залежність від сезонних змін; про основні ринки збуту т</w:t>
      </w:r>
      <w:r>
        <w:rPr>
          <w:rFonts w:ascii="Times New Roman CYR" w:hAnsi="Times New Roman CYR" w:cs="Times New Roman CYR"/>
          <w:b/>
          <w:bCs/>
          <w:sz w:val="24"/>
          <w:szCs w:val="24"/>
        </w:rPr>
        <w:t>а основних клієнтів; основні ризики в діяльності емітента, заходи емітента щодо зменшення ризиків, захисту своєї діяльності та розширення виробництва та ринків збуту; про канали збуту й методи продажу, які використовує емітент; про джерела сировини, їх дос</w:t>
      </w:r>
      <w:r>
        <w:rPr>
          <w:rFonts w:ascii="Times New Roman CYR" w:hAnsi="Times New Roman CYR" w:cs="Times New Roman CYR"/>
          <w:b/>
          <w:bCs/>
          <w:sz w:val="24"/>
          <w:szCs w:val="24"/>
        </w:rPr>
        <w:t>тупність та динаміку цін; інформацію про особливості стану розвитку галузі виробництва, в якій здійснює діяльність емітент, рівень впровадження нових технологій, нових товарів, його становище на ринку; інформацію про конкуренцію в галузі, про особливості п</w:t>
      </w:r>
      <w:r>
        <w:rPr>
          <w:rFonts w:ascii="Times New Roman CYR" w:hAnsi="Times New Roman CYR" w:cs="Times New Roman CYR"/>
          <w:b/>
          <w:bCs/>
          <w:sz w:val="24"/>
          <w:szCs w:val="24"/>
        </w:rPr>
        <w:t xml:space="preserve">родукції (послуг) емітента; перспективні плани розвитку емітента; кількість постачальників за основними видами сировини та матеріалів, що займають більше 10 відсотків у загальному обсязі постачання, у разі якщо емітент здійснює свою діяльність у декількох </w:t>
      </w:r>
      <w:r>
        <w:rPr>
          <w:rFonts w:ascii="Times New Roman CYR" w:hAnsi="Times New Roman CYR" w:cs="Times New Roman CYR"/>
          <w:b/>
          <w:bCs/>
          <w:sz w:val="24"/>
          <w:szCs w:val="24"/>
        </w:rPr>
        <w:t xml:space="preserve">країнах, необхідно зазначити ті країни, у яких емітентом отримано 10 або більше відсотків від загальної суми доходів за звітний рік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в даний час надає послуги в орендi складських примiщень та послуги зберiгання, На всi примiщення оформленi дог</w:t>
      </w:r>
      <w:r>
        <w:rPr>
          <w:rFonts w:ascii="Times New Roman CYR" w:hAnsi="Times New Roman CYR" w:cs="Times New Roman CYR"/>
          <w:sz w:val="24"/>
          <w:szCs w:val="24"/>
        </w:rPr>
        <w:t xml:space="preserve">овори оренди i переданi в користування приватним пiдприємцям. Цiни на оренду встановленi на рiвнi середнiх, якi склались для даного району м. Луцька. Основними клiєнтами є приватнi пiдприємства м.Луцька i приватнi пiдприємцi України.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Чистий дохiд, який от</w:t>
      </w:r>
      <w:r>
        <w:rPr>
          <w:rFonts w:ascii="Times New Roman CYR" w:hAnsi="Times New Roman CYR" w:cs="Times New Roman CYR"/>
          <w:sz w:val="24"/>
          <w:szCs w:val="24"/>
        </w:rPr>
        <w:t>римано в 2021 роцi за наданi послуги, склав 4788,7 тис.грн.</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Новi технологiї та види дiяльностi у 2021 роцi не запроваджувались.</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Особливiстю функцiонування пiдприємства є те, що воно географiчно розташоване в районi поруч з центром м. Луцька, що i визначає </w:t>
      </w:r>
      <w:r>
        <w:rPr>
          <w:rFonts w:ascii="Times New Roman CYR" w:hAnsi="Times New Roman CYR" w:cs="Times New Roman CYR"/>
          <w:sz w:val="24"/>
          <w:szCs w:val="24"/>
        </w:rPr>
        <w:t>його привабливiсть. Конкурентами з оренди примiщень є пiдприємства, що розташованi по вулицi Електроапаратна м.Луцька, якi здають в оренду примiщення.</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Пiдприємство не залежить вiд сезонних змiн.</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придбання або відчуження активів за останні п'ять р</w:t>
      </w:r>
      <w:r>
        <w:rPr>
          <w:rFonts w:ascii="Times New Roman CYR" w:hAnsi="Times New Roman CYR" w:cs="Times New Roman CYR"/>
          <w:b/>
          <w:bCs/>
          <w:sz w:val="24"/>
          <w:szCs w:val="24"/>
        </w:rPr>
        <w:t xml:space="preserve">оків. Якщо підприємство планує будь-які значні інвестиції або придбання, пов'язані з його господарською діяльністю, їх необхідно описати, включаючи суттєві умови придбання або інвестиції, їх вартість і спосіб фінансування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Основнi придбання або вiдчужен</w:t>
      </w:r>
      <w:r>
        <w:rPr>
          <w:rFonts w:ascii="Times New Roman CYR" w:hAnsi="Times New Roman CYR" w:cs="Times New Roman CYR"/>
          <w:sz w:val="24"/>
          <w:szCs w:val="24"/>
        </w:rPr>
        <w:t>ня за 5 рокiв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придбання</w:t>
      </w:r>
      <w:r>
        <w:rPr>
          <w:rFonts w:ascii="Times New Roman CYR" w:hAnsi="Times New Roman CYR" w:cs="Times New Roman CYR"/>
          <w:sz w:val="24"/>
          <w:szCs w:val="24"/>
        </w:rPr>
        <w:tab/>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Насос 2100</w:t>
      </w:r>
      <w:r>
        <w:rPr>
          <w:rFonts w:ascii="Times New Roman CYR" w:hAnsi="Times New Roman CYR" w:cs="Times New Roman CYR"/>
          <w:sz w:val="24"/>
          <w:szCs w:val="24"/>
        </w:rPr>
        <w:tab/>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Водонагрiвач 20600</w:t>
      </w:r>
      <w:r>
        <w:rPr>
          <w:rFonts w:ascii="Times New Roman CYR" w:hAnsi="Times New Roman CYR" w:cs="Times New Roman CYR"/>
          <w:sz w:val="24"/>
          <w:szCs w:val="24"/>
        </w:rPr>
        <w:tab/>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Автомобiлi 600000</w:t>
      </w:r>
      <w:r>
        <w:rPr>
          <w:rFonts w:ascii="Times New Roman CYR" w:hAnsi="Times New Roman CYR" w:cs="Times New Roman CYR"/>
          <w:sz w:val="24"/>
          <w:szCs w:val="24"/>
        </w:rPr>
        <w:tab/>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Котли 288000</w:t>
      </w:r>
      <w:r>
        <w:rPr>
          <w:rFonts w:ascii="Times New Roman CYR" w:hAnsi="Times New Roman CYR" w:cs="Times New Roman CYR"/>
          <w:sz w:val="24"/>
          <w:szCs w:val="24"/>
        </w:rPr>
        <w:tab/>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Телевiзор 25000</w:t>
      </w:r>
      <w:r>
        <w:rPr>
          <w:rFonts w:ascii="Times New Roman CYR" w:hAnsi="Times New Roman CYR" w:cs="Times New Roman CYR"/>
          <w:sz w:val="24"/>
          <w:szCs w:val="24"/>
        </w:rPr>
        <w:tab/>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Комп'ютер 41800</w:t>
      </w:r>
      <w:r>
        <w:rPr>
          <w:rFonts w:ascii="Times New Roman CYR" w:hAnsi="Times New Roman CYR" w:cs="Times New Roman CYR"/>
          <w:sz w:val="24"/>
          <w:szCs w:val="24"/>
        </w:rPr>
        <w:tab/>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Резервур насос 12800</w:t>
      </w:r>
      <w:r>
        <w:rPr>
          <w:rFonts w:ascii="Times New Roman CYR" w:hAnsi="Times New Roman CYR" w:cs="Times New Roman CYR"/>
          <w:sz w:val="24"/>
          <w:szCs w:val="24"/>
        </w:rPr>
        <w:tab/>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Контейнер 14400</w:t>
      </w:r>
      <w:r>
        <w:rPr>
          <w:rFonts w:ascii="Times New Roman CYR" w:hAnsi="Times New Roman CYR" w:cs="Times New Roman CYR"/>
          <w:sz w:val="24"/>
          <w:szCs w:val="24"/>
        </w:rPr>
        <w:tab/>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Всього 1024000</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Вiдчуження:</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Автомобiль 713000</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Крiм того плануємо витрати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- 450 </w:t>
      </w:r>
      <w:r>
        <w:rPr>
          <w:rFonts w:ascii="Times New Roman CYR" w:hAnsi="Times New Roman CYR" w:cs="Times New Roman CYR"/>
          <w:sz w:val="24"/>
          <w:szCs w:val="24"/>
        </w:rPr>
        <w:t xml:space="preserve">тис. грн.  на реконструкцiю газопостачання котельнi;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- 200  тис. грн. на ремонт криши примiщення складу;</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- 150 тис. грн. на ремонт асфальтного покриття;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У 2019 роцi придбано установку ШРП  251800 грн., будiвництво вбиральня  39900 грн.</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не здiйснювало у 2020 роцi значного придбання або вiдчуження активiв i не планує значних iнвестицiй чи придбань, пов'язаних з господарською дiяльнiстю. Розвиток т</w:t>
      </w:r>
      <w:r>
        <w:rPr>
          <w:rFonts w:ascii="Times New Roman CYR" w:hAnsi="Times New Roman CYR" w:cs="Times New Roman CYR"/>
          <w:sz w:val="24"/>
          <w:szCs w:val="24"/>
        </w:rPr>
        <w:t>овариства йде в напрямi поступової реконструкцiї наявних об'єктiв нерухомостi з метою розширення корисних площ та бiльш ефективного їх залучення для одержання прибутку.</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Вiдчуження основних засобiв у звiтному 2022 роцi не було. У 2023 роцi у складi осн</w:t>
      </w:r>
      <w:r>
        <w:rPr>
          <w:rFonts w:ascii="Times New Roman CYR" w:hAnsi="Times New Roman CYR" w:cs="Times New Roman CYR"/>
          <w:sz w:val="24"/>
          <w:szCs w:val="24"/>
        </w:rPr>
        <w:t xml:space="preserve">овних засобiв значних змiн не планується.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Основні засоби емітента, включаючи об'єкти оренди та будь-які значні правочини емітента щодо них; виробничі потужності та ступінь використання обладнання; спосіб утримання активів, місцезнаходження осн</w:t>
      </w:r>
      <w:r>
        <w:rPr>
          <w:rFonts w:ascii="Times New Roman CYR" w:hAnsi="Times New Roman CYR" w:cs="Times New Roman CYR"/>
          <w:b/>
          <w:bCs/>
          <w:sz w:val="24"/>
          <w:szCs w:val="24"/>
        </w:rPr>
        <w:t>овних засобів. Крім того, необхідно описати екологічні питання, що можуть позначитися на використанні активів підприємства, плани капітального будівництва, розширення або удосконалення основних засобів, характер та причини таких планів, суми видатків, у то</w:t>
      </w:r>
      <w:r>
        <w:rPr>
          <w:rFonts w:ascii="Times New Roman CYR" w:hAnsi="Times New Roman CYR" w:cs="Times New Roman CYR"/>
          <w:b/>
          <w:bCs/>
          <w:sz w:val="24"/>
          <w:szCs w:val="24"/>
        </w:rPr>
        <w:t>му числі вже зроблених, опис методу фінансування, прогнозні дати початку та закінчення діяльності та очікуване зростання виробничих потужностей після її завершення</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Основнi засоби емiтента розташованi за адресою Товариства. Обладнання використовується на 95</w:t>
      </w:r>
      <w:r>
        <w:rPr>
          <w:rFonts w:ascii="Times New Roman CYR" w:hAnsi="Times New Roman CYR" w:cs="Times New Roman CYR"/>
          <w:sz w:val="24"/>
          <w:szCs w:val="24"/>
        </w:rPr>
        <w:t xml:space="preserve"> % . Емiтент не використовує об'єкти оренди та у звiтному 2021 роцi не вчиняв значних правочинiв зi своїми основними засобами. Особливостей по екологiчних питаннях, якi б могли позначитися на використаннi активiв пiдприємства не спостерiгається. Iнформацiя</w:t>
      </w:r>
      <w:r>
        <w:rPr>
          <w:rFonts w:ascii="Times New Roman CYR" w:hAnsi="Times New Roman CYR" w:cs="Times New Roman CYR"/>
          <w:sz w:val="24"/>
          <w:szCs w:val="24"/>
        </w:rPr>
        <w:t xml:space="preserve"> щодо планiв капiтального будiвництва, розширення або удосконалення основних засобiв, характер та причини таких планiв, суми видаткiв, в тому числi вже зроблених, опис методу фiнансування, прогнознi дати початку та закiнчення дiяльностi та очiкуване зроста</w:t>
      </w:r>
      <w:r>
        <w:rPr>
          <w:rFonts w:ascii="Times New Roman CYR" w:hAnsi="Times New Roman CYR" w:cs="Times New Roman CYR"/>
          <w:sz w:val="24"/>
          <w:szCs w:val="24"/>
        </w:rPr>
        <w:t xml:space="preserve">ння виробничих потужностей пiсля її завершення - вiдсутнi.  Пiдприємство використовує власнi основнi засоби, облiкова оцiнка та вiдображення у фiнансовiй звiтностi яких достовiрна. Аналiтичний облiк ведеться в оборотно-сальдових вiдомостях за вiдповiдними </w:t>
      </w:r>
      <w:r>
        <w:rPr>
          <w:rFonts w:ascii="Times New Roman CYR" w:hAnsi="Times New Roman CYR" w:cs="Times New Roman CYR"/>
          <w:sz w:val="24"/>
          <w:szCs w:val="24"/>
        </w:rPr>
        <w:t xml:space="preserve">рахунками. Данi аналiтичного облiку вiдповiдають даним синтетичного облiку i вимогам чинного законодавства з бухгалтерського облiку. Облiк основних засобiв, iнших необоротних активiв ведеться у вiдповiдностi до Положення (стандарту) бухгалтерського облiку </w:t>
      </w:r>
      <w:r>
        <w:rPr>
          <w:rFonts w:ascii="Times New Roman CYR" w:hAnsi="Times New Roman CYR" w:cs="Times New Roman CYR"/>
          <w:sz w:val="24"/>
          <w:szCs w:val="24"/>
        </w:rPr>
        <w:t>7 "Основнi засоби". Для цiлей оподаткування та в бухгалтерському облiку знос (амортизацiя) основних засобiв нараховується згiдно з вимогами ст. 144, 145, 146 Податкового кодексу України вiд 02.12.2010 № 2755-VI iз змiнами i доповненнями. - Первiсна вартiст</w:t>
      </w:r>
      <w:r>
        <w:rPr>
          <w:rFonts w:ascii="Times New Roman CYR" w:hAnsi="Times New Roman CYR" w:cs="Times New Roman CYR"/>
          <w:sz w:val="24"/>
          <w:szCs w:val="24"/>
        </w:rPr>
        <w:t>ь основних засобiв на дату балансу - 3571,3 тис.грн.; - нарахований знос - 2406,7 тис.грн.; - залишкова (балансова) вартiсть - 1164,6 тис.грн.</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Проблеми, які впливають на діяльність емітента; ступінь залежності від законодавчих або економічних обмежень</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 </w:t>
      </w:r>
      <w:r>
        <w:rPr>
          <w:rFonts w:ascii="Times New Roman CYR" w:hAnsi="Times New Roman CYR" w:cs="Times New Roman CYR"/>
          <w:sz w:val="24"/>
          <w:szCs w:val="24"/>
        </w:rPr>
        <w:t>дiяльнiсть Товариства досить суттєво впливають наступнi фактори: - нестабiльнiсть, суперечливiсть законодавства; - непередбаченi дiї державних органiв; - нестабiльнiсть економiчної (фiнансової, податкової, зовнiшньоекономiчної та iн.) полiтики; - непередба</w:t>
      </w:r>
      <w:r>
        <w:rPr>
          <w:rFonts w:ascii="Times New Roman CYR" w:hAnsi="Times New Roman CYR" w:cs="Times New Roman CYR"/>
          <w:sz w:val="24"/>
          <w:szCs w:val="24"/>
        </w:rPr>
        <w:t xml:space="preserve">чена </w:t>
      </w:r>
      <w:r>
        <w:rPr>
          <w:rFonts w:ascii="Times New Roman CYR" w:hAnsi="Times New Roman CYR" w:cs="Times New Roman CYR"/>
          <w:sz w:val="24"/>
          <w:szCs w:val="24"/>
        </w:rPr>
        <w:lastRenderedPageBreak/>
        <w:t>змiна кон'юнктури внутрiшнього i зовнiшнього ринку; - непередбаченi дiї конкурентiв; - форс-мажорнi обставини.</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 xml:space="preserve">Опис обраної політики щодо фінансування діяльності емітента, достатність робочого капіталу для поточних потреб, можливі шляхи покращення </w:t>
      </w:r>
      <w:r>
        <w:rPr>
          <w:rFonts w:ascii="Times New Roman CYR" w:hAnsi="Times New Roman CYR" w:cs="Times New Roman CYR"/>
          <w:b/>
          <w:bCs/>
          <w:sz w:val="24"/>
          <w:szCs w:val="24"/>
        </w:rPr>
        <w:t>ліквідності за оцінками фахівців емітента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Джерелами фiнансування дiяльностi Товариства  є:</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доходи, одержанi вiд реалiзацiї продукцiї, послуг, iнших видiв господарської дiяльностi;</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кредити банкiв та iнших кредиторiв;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безоплатнi, благодiйнi або спонсор</w:t>
      </w:r>
      <w:r>
        <w:rPr>
          <w:rFonts w:ascii="Times New Roman CYR" w:hAnsi="Times New Roman CYR" w:cs="Times New Roman CYR"/>
          <w:sz w:val="24"/>
          <w:szCs w:val="24"/>
        </w:rPr>
        <w:t>ськi внески, пожертвування органiзацiй, пiдприємств;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iншi джерела, не забороненi законодавством України.</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Вартість укладених, але ще не виконаних договорів (контрактів) на кінець звітного періоду (загальний підсумок) та очікувані прибутки від виконання</w:t>
      </w:r>
      <w:r>
        <w:rPr>
          <w:rFonts w:ascii="Times New Roman CYR" w:hAnsi="Times New Roman CYR" w:cs="Times New Roman CYR"/>
          <w:b/>
          <w:bCs/>
          <w:sz w:val="24"/>
          <w:szCs w:val="24"/>
        </w:rPr>
        <w:t xml:space="preserve"> цих договорів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Укладених, але не виконаних договорiв за звiтний перiод немає.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Стратегія подальшої діяльності емітента щонайменше на рік (щодо розширення виробництва, реконструкції, поліпшення фінансового стану, опис істотних факторів, які можуть вплинути</w:t>
      </w:r>
      <w:r>
        <w:rPr>
          <w:rFonts w:ascii="Times New Roman CYR" w:hAnsi="Times New Roman CYR" w:cs="Times New Roman CYR"/>
          <w:b/>
          <w:bCs/>
          <w:sz w:val="24"/>
          <w:szCs w:val="24"/>
        </w:rPr>
        <w:t xml:space="preserve"> на діяльність емітента в майбутньому)</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Основним напрямком розвитку дiяльностi в короткостроковому майбутньому є розширення ринку споживачiв послуг пiдприємства..Також напрямком розвитку дiяльностi є отримання прибутку вiд здiйснення пiдприємницької дiяльностi та використання його в iнтересах ак</w:t>
      </w:r>
      <w:r>
        <w:rPr>
          <w:rFonts w:ascii="Times New Roman CYR" w:hAnsi="Times New Roman CYR" w:cs="Times New Roman CYR"/>
          <w:sz w:val="24"/>
          <w:szCs w:val="24"/>
        </w:rPr>
        <w:t>цiонерiв Товариства,розширення ринку послуг, пiдвищення ефективностi використання матерiальних фiнансових та iнших ресурсiв на основi загальної дiяльностi за умови дотримання iнтересiв його працiвникiв, дiлових партнерiв, держави та iнших заiнтересованих о</w:t>
      </w:r>
      <w:r>
        <w:rPr>
          <w:rFonts w:ascii="Times New Roman CYR" w:hAnsi="Times New Roman CYR" w:cs="Times New Roman CYR"/>
          <w:sz w:val="24"/>
          <w:szCs w:val="24"/>
        </w:rPr>
        <w:t>сiб. В середньо- та довгострокових планах розширення клiєнтської бази за рахунок охоплення сектору фiнансового посередництва, розширення клiєнтської бази.Заходами по зниженню комерцiйних ризикiв є: системне вивчення коньюнктури ринку; рацiональна цiнова по</w:t>
      </w:r>
      <w:r>
        <w:rPr>
          <w:rFonts w:ascii="Times New Roman CYR" w:hAnsi="Times New Roman CYR" w:cs="Times New Roman CYR"/>
          <w:sz w:val="24"/>
          <w:szCs w:val="24"/>
        </w:rPr>
        <w:t>лiтика; вдала реклама. Фiнансовi ризики можуть бути викликанi iнфляцiйними процесами, всеохоплюючою несплатою. Вони можуть бути зниженi шляхом створення системи фiнансового менеджменту на пiдприємствi, роботи iз споживачами на умавах передплати.</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Опис полі</w:t>
      </w:r>
      <w:r>
        <w:rPr>
          <w:rFonts w:ascii="Times New Roman CYR" w:hAnsi="Times New Roman CYR" w:cs="Times New Roman CYR"/>
          <w:b/>
          <w:bCs/>
          <w:sz w:val="24"/>
          <w:szCs w:val="24"/>
        </w:rPr>
        <w:t>тики емітента щодо досліджень та розробок, вказати суму витрат на дослідження та розробку за звітний рік</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 метою пiдвищення ефективностi господарської дiяльностi та змiцнення позицiї Емiтента на ринку, Емiтентом постiйно здiйснюється вивчення попиту та про</w:t>
      </w:r>
      <w:r>
        <w:rPr>
          <w:rFonts w:ascii="Times New Roman CYR" w:hAnsi="Times New Roman CYR" w:cs="Times New Roman CYR"/>
          <w:sz w:val="24"/>
          <w:szCs w:val="24"/>
        </w:rPr>
        <w:t>позицiй на ринку на ринку надання послуг оренди нежитлових примiщень. Такi дослiдження проводяться в осоновному шляхом взаємних переговорiв та з використанням мережi Iнтернет.</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b/>
          <w:bCs/>
          <w:sz w:val="24"/>
          <w:szCs w:val="24"/>
        </w:rPr>
      </w:pPr>
      <w:r>
        <w:rPr>
          <w:rFonts w:ascii="Times New Roman CYR" w:hAnsi="Times New Roman CYR" w:cs="Times New Roman CYR"/>
          <w:b/>
          <w:bCs/>
          <w:sz w:val="24"/>
          <w:szCs w:val="24"/>
        </w:rPr>
        <w:t>Інша інформація, яка може бути істотною для оцінки інвестором фінансового стану</w:t>
      </w:r>
      <w:r>
        <w:rPr>
          <w:rFonts w:ascii="Times New Roman CYR" w:hAnsi="Times New Roman CYR" w:cs="Times New Roman CYR"/>
          <w:b/>
          <w:bCs/>
          <w:sz w:val="24"/>
          <w:szCs w:val="24"/>
        </w:rPr>
        <w:t xml:space="preserve"> та результатів діяльності емітента, у тому числі, за наявності, інформацію про результати та аналіз господарювання емітента за останні три роки у формі аналітичної довідки в довільній формі</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Для покращення роботи товариства в 2022 роцi проведений змiстовни</w:t>
      </w:r>
      <w:r>
        <w:rPr>
          <w:rFonts w:ascii="Times New Roman CYR" w:hAnsi="Times New Roman CYR" w:cs="Times New Roman CYR"/>
          <w:sz w:val="24"/>
          <w:szCs w:val="24"/>
        </w:rPr>
        <w:t>й, досконалий i поглиблений аналiз роботи товариства за три роки. Товариство дотримується стандартiв дiлової поведiнки акцiонерiв та менеджерiв, а також забезпечує функцiонування системи монiторингу цих стандартiв, що дозволяє унеможливити отримання зазнач</w:t>
      </w:r>
      <w:r>
        <w:rPr>
          <w:rFonts w:ascii="Times New Roman CYR" w:hAnsi="Times New Roman CYR" w:cs="Times New Roman CYR"/>
          <w:sz w:val="24"/>
          <w:szCs w:val="24"/>
        </w:rPr>
        <w:t xml:space="preserve">еними особами додаткових доходiв </w:t>
      </w:r>
      <w:r>
        <w:rPr>
          <w:rFonts w:ascii="Times New Roman CYR" w:hAnsi="Times New Roman CYR" w:cs="Times New Roman CYR"/>
          <w:sz w:val="24"/>
          <w:szCs w:val="24"/>
        </w:rPr>
        <w:lastRenderedPageBreak/>
        <w:t>за рахунок використання iнсайдерської iнформацiї, порушення обмежень щодо уникнення конфлiкту iнтересiв, та здiйснення iнших протиправних i неетичних дiй.</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IV. Інформація про органи управління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4000"/>
        <w:gridCol w:w="4000"/>
      </w:tblGrid>
      <w:tr w:rsidR="00000000" w:rsidRPr="00707CE2">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Орган управління</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Структура</w:t>
            </w:r>
          </w:p>
        </w:tc>
        <w:tc>
          <w:tcPr>
            <w:tcW w:w="4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Пе</w:t>
            </w:r>
            <w:r w:rsidRPr="00707CE2">
              <w:rPr>
                <w:rFonts w:ascii="Times New Roman CYR" w:eastAsiaTheme="minorEastAsia" w:hAnsi="Times New Roman CYR" w:cs="Times New Roman CYR"/>
                <w:b/>
                <w:bCs/>
              </w:rPr>
              <w:t>рсональний склад</w:t>
            </w:r>
          </w:p>
        </w:tc>
      </w:tr>
      <w:tr w:rsidR="00000000" w:rsidRPr="00707CE2">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Виконавчий орган</w:t>
            </w:r>
          </w:p>
        </w:tc>
        <w:tc>
          <w:tcPr>
            <w:tcW w:w="4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Директор</w:t>
            </w:r>
          </w:p>
        </w:tc>
        <w:tc>
          <w:tcPr>
            <w:tcW w:w="4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Войтанiк Валерiй Олексiйович</w:t>
            </w:r>
          </w:p>
        </w:tc>
      </w:tr>
      <w:tr w:rsidR="00000000" w:rsidRPr="00707CE2">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Наглядова рада</w:t>
            </w:r>
          </w:p>
        </w:tc>
        <w:tc>
          <w:tcPr>
            <w:tcW w:w="4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Голова нагялової ради</w:t>
            </w:r>
          </w:p>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член наглядової ради</w:t>
            </w:r>
          </w:p>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член наглядової ради</w:t>
            </w:r>
          </w:p>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4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Войтанiк Тетяна Олександрiвна</w:t>
            </w:r>
          </w:p>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Чапаловська Тетяна Михайлiвна</w:t>
            </w:r>
          </w:p>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Романюк Феодосiй Олександрович</w:t>
            </w:r>
          </w:p>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r>
      <w:tr w:rsidR="00000000" w:rsidRPr="00707CE2">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Загальнi збори</w:t>
            </w:r>
          </w:p>
        </w:tc>
        <w:tc>
          <w:tcPr>
            <w:tcW w:w="4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акцiонери</w:t>
            </w:r>
          </w:p>
        </w:tc>
        <w:tc>
          <w:tcPr>
            <w:tcW w:w="4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акцiонери згiдно реєстру</w:t>
            </w:r>
          </w:p>
        </w:tc>
      </w:tr>
    </w:tbl>
    <w:p w:rsidR="00000000" w:rsidRDefault="00707CE2">
      <w:pPr>
        <w:widowControl w:val="0"/>
        <w:autoSpaceDE w:val="0"/>
        <w:autoSpaceDN w:val="0"/>
        <w:adjustRightInd w:val="0"/>
        <w:spacing w:after="0" w:line="240" w:lineRule="auto"/>
        <w:rPr>
          <w:rFonts w:ascii="Times New Roman CYR" w:hAnsi="Times New Roman CYR" w:cs="Times New Roman CYR"/>
        </w:rPr>
      </w:pPr>
    </w:p>
    <w:p w:rsidR="00000000" w:rsidRDefault="00707CE2">
      <w:pPr>
        <w:widowControl w:val="0"/>
        <w:autoSpaceDE w:val="0"/>
        <w:autoSpaceDN w:val="0"/>
        <w:adjustRightInd w:val="0"/>
        <w:spacing w:after="0" w:line="240" w:lineRule="auto"/>
        <w:rPr>
          <w:rFonts w:ascii="Times New Roman CYR" w:hAnsi="Times New Roman CYR" w:cs="Times New Roman CYR"/>
        </w:rPr>
        <w:sectPr w:rsidR="00000000">
          <w:pgSz w:w="12240" w:h="15840"/>
          <w:pgMar w:top="850" w:right="850" w:bottom="850" w:left="1400" w:header="720" w:footer="720" w:gutter="0"/>
          <w:cols w:space="720"/>
          <w:noEndnote/>
        </w:sect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 Інформація про посадових осіб емітента</w:t>
      </w: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щодо освіти та стажу роботи посадових осіб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900"/>
        <w:gridCol w:w="2500"/>
        <w:gridCol w:w="3000"/>
        <w:gridCol w:w="850"/>
        <w:gridCol w:w="2250"/>
        <w:gridCol w:w="1000"/>
        <w:gridCol w:w="3050"/>
        <w:gridCol w:w="1550"/>
      </w:tblGrid>
      <w:tr w:rsidR="00000000" w:rsidRPr="00707CE2">
        <w:tblPrEx>
          <w:tblCellMar>
            <w:top w:w="0" w:type="dxa"/>
            <w:bottom w:w="0" w:type="dxa"/>
          </w:tblCellMar>
        </w:tblPrEx>
        <w:trPr>
          <w:trHeight w:val="200"/>
        </w:trPr>
        <w:tc>
          <w:tcPr>
            <w:tcW w:w="9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 з/п</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Посада</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Прізвище, ім'я, по батькові</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Рік народження</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Освіта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Стаж роботи (років)</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Найменування підприємства, ідентифікаційний код юридичної особи та посада, яку займав</w:t>
            </w:r>
          </w:p>
        </w:tc>
        <w:tc>
          <w:tcPr>
            <w:tcW w:w="155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Дата набуття повноважень та термін, на який обрано (призначено)</w:t>
            </w:r>
          </w:p>
        </w:tc>
      </w:tr>
      <w:tr w:rsidR="00000000" w:rsidRPr="00707CE2">
        <w:tblPrEx>
          <w:tblCellMar>
            <w:top w:w="0" w:type="dxa"/>
            <w:bottom w:w="0" w:type="dxa"/>
          </w:tblCellMar>
        </w:tblPrEx>
        <w:trPr>
          <w:trHeight w:val="200"/>
        </w:trPr>
        <w:tc>
          <w:tcPr>
            <w:tcW w:w="9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5</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6</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7</w:t>
            </w:r>
          </w:p>
        </w:tc>
        <w:tc>
          <w:tcPr>
            <w:tcW w:w="155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8</w:t>
            </w:r>
          </w:p>
        </w:tc>
      </w:tr>
      <w:tr w:rsidR="00000000" w:rsidRPr="00707CE2">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Директор</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Войтанiк Валерiй Олексiйович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1954</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вища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51</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ПрАТ "Волинська фiрма "Одяг",  Волинське  оптово- роздрiбне  об&gt;єднання "Спорттовари", заступник директора, 01554158</w:t>
            </w:r>
          </w:p>
        </w:tc>
        <w:tc>
          <w:tcPr>
            <w:tcW w:w="155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05.04.2021, 5 рокiв</w:t>
            </w:r>
          </w:p>
        </w:tc>
      </w:tr>
      <w:tr w:rsidR="00000000" w:rsidRPr="00707CE2">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Опис:</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У зв"язку iз закiнченням строку повноважень директора Товариства рiшенням Наглядової ради ПрАТ "Волинська фiрма "Одяг" (протокол №7 вiд 05.04.2021р.) обрано (продовжено термiн повноважень) Войтанiка Валерiя Олексiйовича директором ПрАТ "Волинська фiрма "Од</w:t>
            </w:r>
            <w:r w:rsidRPr="00707CE2">
              <w:rPr>
                <w:rFonts w:ascii="Times New Roman CYR" w:eastAsiaTheme="minorEastAsia" w:hAnsi="Times New Roman CYR" w:cs="Times New Roman CYR"/>
              </w:rPr>
              <w:t>яг" на повторний термiн строком на 5 рокiв. Посадова особа не обiймає посади на будь-яких iнших пiдприємствах.  Розмiр виплаченої винагороди дорiвнює рiчному заробiтку вiдповiдно до займаної посади.   Робота по сумiсництву iз зазначенням посади та мiсцезна</w:t>
            </w:r>
            <w:r w:rsidRPr="00707CE2">
              <w:rPr>
                <w:rFonts w:ascii="Times New Roman CYR" w:eastAsiaTheme="minorEastAsia" w:hAnsi="Times New Roman CYR" w:cs="Times New Roman CYR"/>
              </w:rPr>
              <w:t>ходження - вiдсутня. Непогашеної судимостi за корисливi та посадовi злочини не має.  Загальний стаж роботи 51 р.Протягом останнiх п'ять рокiв обiймає посаду директора ПрАТ "Волинська фiрма "Одяг"  код ЄДР  01554158.</w:t>
            </w:r>
          </w:p>
        </w:tc>
      </w:tr>
      <w:tr w:rsidR="00000000" w:rsidRPr="00707CE2">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Голова наглядової ради, представник акцiонера</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Войтанiк Тетяна Олександрiвна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1983</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вища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17</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ПрАТ "Волинська фiрма "Одяг",  Юрист, 01554158</w:t>
            </w:r>
          </w:p>
        </w:tc>
        <w:tc>
          <w:tcPr>
            <w:tcW w:w="155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05.04.2021, 3 роки</w:t>
            </w:r>
          </w:p>
        </w:tc>
      </w:tr>
      <w:tr w:rsidR="00000000" w:rsidRPr="00707CE2">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Опис:</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Посадова особа не обiймає посади на будь-яких iнших пiдприємствах. Розмiр виплаченої винагороди дорiвнює рiчному заробiтку вiдповiдно до займаної посади. Винагороду за виконання функцiй голови наглядової ради отримує згiдно трудового договору. Робота по су</w:t>
            </w:r>
            <w:r w:rsidRPr="00707CE2">
              <w:rPr>
                <w:rFonts w:ascii="Times New Roman CYR" w:eastAsiaTheme="minorEastAsia" w:hAnsi="Times New Roman CYR" w:cs="Times New Roman CYR"/>
              </w:rPr>
              <w:t xml:space="preserve">мiсництву iз зазначенням посади та мiсцезнаходження - вiдсутня. Непогашеної судимостi за корисливi та посадовi злочини не має. Войтанiк Т.О. є представником акцiонера Войтанiка В.О.  Рiшення про обрання на посаду Голови наглядової ради прийнято засiданням </w:t>
            </w:r>
            <w:r w:rsidRPr="00707CE2">
              <w:rPr>
                <w:rFonts w:ascii="Times New Roman CYR" w:eastAsiaTheme="minorEastAsia" w:hAnsi="Times New Roman CYR" w:cs="Times New Roman CYR"/>
              </w:rPr>
              <w:t>Наглядової ради 03.04.2020р.. з числа обраних загальними зборами акцiонерiв 03.04.2020р. членiв наглядової ради термiном на три роки. Загальний стаж роботи  17 рокiв.Протягом останнiх п'ять рокiв обiймає посаду юриста ПрАТ "Волинська фiрма "Одяг", код 0155</w:t>
            </w:r>
            <w:r w:rsidRPr="00707CE2">
              <w:rPr>
                <w:rFonts w:ascii="Times New Roman CYR" w:eastAsiaTheme="minorEastAsia" w:hAnsi="Times New Roman CYR" w:cs="Times New Roman CYR"/>
              </w:rPr>
              <w:t>4158.</w:t>
            </w:r>
          </w:p>
        </w:tc>
      </w:tr>
      <w:tr w:rsidR="00000000" w:rsidRPr="00707CE2">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Член наглядової ради, представник акцiонера</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Романюк Феодосiй Олександрович</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1949</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вища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50</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КОМУНАЛЬНЕ ПIДПРИЄМСТВО МЕДИЧНЕ ОБ'ЄДНАННЯ ЛУЦЬКОЇ МIСЬКОЇ ТЕРИТОРIАЛЬНОЇ ГРОМАДИ, ургентний хiрург, 01982985</w:t>
            </w:r>
          </w:p>
        </w:tc>
        <w:tc>
          <w:tcPr>
            <w:tcW w:w="155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05.04.2021, 3 роки</w:t>
            </w:r>
          </w:p>
        </w:tc>
      </w:tr>
      <w:tr w:rsidR="00000000" w:rsidRPr="00707CE2">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Опис:</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Посадова особа не обiймає посади на будь-яких iнших пiдприємствах. Розмiр виплаченої винагороди дорiвнює рiчному заробiтку вiдповiдно до займаної посади. Винагороди, в тому числi в натуральнiй формi, за виконання обов'язкiв члена Наглядової ради не отримує</w:t>
            </w:r>
            <w:r w:rsidRPr="00707CE2">
              <w:rPr>
                <w:rFonts w:ascii="Times New Roman CYR" w:eastAsiaTheme="minorEastAsia" w:hAnsi="Times New Roman CYR" w:cs="Times New Roman CYR"/>
              </w:rPr>
              <w:t xml:space="preserve">. Робота по сумiсництву </w:t>
            </w:r>
            <w:r w:rsidRPr="00707CE2">
              <w:rPr>
                <w:rFonts w:ascii="Times New Roman CYR" w:eastAsiaTheme="minorEastAsia" w:hAnsi="Times New Roman CYR" w:cs="Times New Roman CYR"/>
              </w:rPr>
              <w:lastRenderedPageBreak/>
              <w:t>iз зазначенням посади та мiсцезнаходження - вiдсутня. Непогашеної судимостi за корисливi та посадовi злочини не має. Рiшення про обрання на посаду члена наглядової ради Романюка Феодосiя Олександровича прийнято загальними зборами ак</w:t>
            </w:r>
            <w:r w:rsidRPr="00707CE2">
              <w:rPr>
                <w:rFonts w:ascii="Times New Roman CYR" w:eastAsiaTheme="minorEastAsia" w:hAnsi="Times New Roman CYR" w:cs="Times New Roman CYR"/>
              </w:rPr>
              <w:t xml:space="preserve">цiонерiв 03.04.2020р на пiдставi Протоколу загальних зборiв вiд 03.04.2020р.Посадова особа є акцiонером, володiє часткою в статутному капiталi емiтента 0,11% та є представником акцiонера Войтанiка В.О. Обрано термiном на три роки. Загальний стаж роботи 55 </w:t>
            </w:r>
            <w:r w:rsidRPr="00707CE2">
              <w:rPr>
                <w:rFonts w:ascii="Times New Roman CYR" w:eastAsiaTheme="minorEastAsia" w:hAnsi="Times New Roman CYR" w:cs="Times New Roman CYR"/>
              </w:rPr>
              <w:t xml:space="preserve"> рокiв.Протягом останнiх п'ять рокiв обiймає посаду ургентний хiрург Комунальний заклад "Луцька мiська клiнiчна лiкарня". </w:t>
            </w:r>
          </w:p>
        </w:tc>
      </w:tr>
      <w:tr w:rsidR="00000000" w:rsidRPr="00707CE2">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lastRenderedPageBreak/>
              <w:t>4</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Член наглядової ради, акцiонер</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Чапаловська Тетяна Михайлiвна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1957</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вища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55</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ПрАТ "Волинська фiрма "Одяг",  економiст товариства, 01554158</w:t>
            </w:r>
          </w:p>
        </w:tc>
        <w:tc>
          <w:tcPr>
            <w:tcW w:w="155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05.04.2021, 3 роки</w:t>
            </w:r>
          </w:p>
        </w:tc>
      </w:tr>
      <w:tr w:rsidR="00000000" w:rsidRPr="00707CE2">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Опис:</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Посадова особа не обi</w:t>
            </w:r>
            <w:r w:rsidRPr="00707CE2">
              <w:rPr>
                <w:rFonts w:ascii="Times New Roman CYR" w:eastAsiaTheme="minorEastAsia" w:hAnsi="Times New Roman CYR" w:cs="Times New Roman CYR"/>
              </w:rPr>
              <w:t>ймає посади на будь-яких iнших пiдприємствах. Розмiр виплаченої винагороди дорiвнює рiчному заробiтку вiдповiдно до займаної посади. Винагороди, в тому числi в натуральнiй формi, за виконання обов'язкiв члена Наглядової ради не отримує. Робота по сумiсницт</w:t>
            </w:r>
            <w:r w:rsidRPr="00707CE2">
              <w:rPr>
                <w:rFonts w:ascii="Times New Roman CYR" w:eastAsiaTheme="minorEastAsia" w:hAnsi="Times New Roman CYR" w:cs="Times New Roman CYR"/>
              </w:rPr>
              <w:t>ву iз зазначенням посади та мiсцезнаходження - вiдсутня. Непогашеної судимостi за корисливi та посадовi злочини не має. Рiшення про обрання на посаду члена наглядової ради Чапаловської Тетяни Михайлiвни прийнято загальними зборами акцiонерiв 03.04.2020р на</w:t>
            </w:r>
            <w:r w:rsidRPr="00707CE2">
              <w:rPr>
                <w:rFonts w:ascii="Times New Roman CYR" w:eastAsiaTheme="minorEastAsia" w:hAnsi="Times New Roman CYR" w:cs="Times New Roman CYR"/>
              </w:rPr>
              <w:t xml:space="preserve"> пiдставi Протоколу загальних зборiв вiд 03.04.2020р.Посадова особа є акцiонером, володiє часткою в статутному капiталi емiтента 0,46% та є представником акцiонера Войтанiка Л.В.   Протягом останнiх п'ять рокiв обiймає посаду економiста ПрАТ "Волинсьа фiрм</w:t>
            </w:r>
            <w:r w:rsidRPr="00707CE2">
              <w:rPr>
                <w:rFonts w:ascii="Times New Roman CYR" w:eastAsiaTheme="minorEastAsia" w:hAnsi="Times New Roman CYR" w:cs="Times New Roman CYR"/>
              </w:rPr>
              <w:t>а "Одяг", код ЄДР  01554158.</w:t>
            </w:r>
          </w:p>
        </w:tc>
      </w:tr>
      <w:tr w:rsidR="00000000" w:rsidRPr="00707CE2">
        <w:tblPrEx>
          <w:tblCellMar>
            <w:top w:w="0" w:type="dxa"/>
            <w:bottom w:w="0" w:type="dxa"/>
          </w:tblCellMar>
        </w:tblPrEx>
        <w:trPr>
          <w:trHeight w:val="200"/>
        </w:trPr>
        <w:tc>
          <w:tcPr>
            <w:tcW w:w="900" w:type="dxa"/>
            <w:vMerge w:val="restart"/>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5</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Головний бухгалтер</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Маркевич Оксана Вiталiївна</w:t>
            </w:r>
          </w:p>
        </w:tc>
        <w:tc>
          <w:tcPr>
            <w:tcW w:w="8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1981</w:t>
            </w:r>
          </w:p>
        </w:tc>
        <w:tc>
          <w:tcPr>
            <w:tcW w:w="22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вища</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21</w:t>
            </w:r>
          </w:p>
        </w:tc>
        <w:tc>
          <w:tcPr>
            <w:tcW w:w="30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Бухгалтер ПрАТ "Волинська фiрма "Одяг"; Провiдний менеджер вiддiлення "Центр обслуговування у м. Луцьку" Головного офiсу ПАТ "АКЦЕНТ-БАНК".,, 01554158</w:t>
            </w:r>
          </w:p>
        </w:tc>
        <w:tc>
          <w:tcPr>
            <w:tcW w:w="155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28.02.2020, на невизначений термiн</w:t>
            </w:r>
          </w:p>
        </w:tc>
      </w:tr>
      <w:tr w:rsidR="00000000" w:rsidRPr="00707CE2">
        <w:tblPrEx>
          <w:tblCellMar>
            <w:top w:w="0" w:type="dxa"/>
            <w:bottom w:w="0" w:type="dxa"/>
          </w:tblCellMar>
        </w:tblPrEx>
        <w:trPr>
          <w:trHeight w:val="200"/>
        </w:trPr>
        <w:tc>
          <w:tcPr>
            <w:tcW w:w="900" w:type="dxa"/>
            <w:vMerge/>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14200" w:type="dxa"/>
            <w:gridSpan w:val="7"/>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Опис:</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Посадова особа не обiймає посади на будь-яких iнших пiдприємствах. Розмiр виплаченої винагороди дорiвнює рiчному заробiтку вiдповiдно до займаної посади. Робота по сумiсництву iз зазначенням посади та мiсцезнаходження - вiдсутня. Непогашеної судимостi за к</w:t>
            </w:r>
            <w:r w:rsidRPr="00707CE2">
              <w:rPr>
                <w:rFonts w:ascii="Times New Roman CYR" w:eastAsiaTheme="minorEastAsia" w:hAnsi="Times New Roman CYR" w:cs="Times New Roman CYR"/>
              </w:rPr>
              <w:t>орисливi та посадовi злочини не має. Наказом директора товариства Про призначення №5 вiд 28.02.2020р. призначено на посаду головного бухгалтера Маркевич Оксану Вiталiївну, володiє часткою в статутному капiталi емiтента 0%. Обрано на невизначений термiн. Пр</w:t>
            </w:r>
            <w:r w:rsidRPr="00707CE2">
              <w:rPr>
                <w:rFonts w:ascii="Times New Roman CYR" w:eastAsiaTheme="minorEastAsia" w:hAnsi="Times New Roman CYR" w:cs="Times New Roman CYR"/>
              </w:rPr>
              <w:t>отягом останнiх п'ять рокiв обiймала посади: Бухгалтер ПрАТ "Волинська фiрма "Одяг"; Провiдний менеджер вiддiлення "Центр обслуговування у м. Луцьку" Головного офiсу ПАТ "АКЦЕНТ-БАНК". Загальний стаж роботи  21 рокiв.</w:t>
            </w:r>
          </w:p>
        </w:tc>
      </w:tr>
    </w:tbl>
    <w:p w:rsidR="00000000" w:rsidRDefault="00707CE2">
      <w:pPr>
        <w:widowControl w:val="0"/>
        <w:autoSpaceDE w:val="0"/>
        <w:autoSpaceDN w:val="0"/>
        <w:adjustRightInd w:val="0"/>
        <w:spacing w:after="0" w:line="240" w:lineRule="auto"/>
        <w:rPr>
          <w:rFonts w:ascii="Times New Roman CYR" w:hAnsi="Times New Roman CYR" w:cs="Times New Roman CYR"/>
        </w:rPr>
      </w:pPr>
    </w:p>
    <w:p w:rsidR="00000000" w:rsidRDefault="00707CE2">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20" w:footer="720" w:gutter="0"/>
          <w:cols w:space="720"/>
          <w:noEndnote/>
        </w:sect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2. Інформація про володіння посадовими особами емітента акціями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3050"/>
        <w:gridCol w:w="4400"/>
        <w:gridCol w:w="1200"/>
        <w:gridCol w:w="1300"/>
        <w:gridCol w:w="2400"/>
        <w:gridCol w:w="2771"/>
      </w:tblGrid>
      <w:tr w:rsidR="00000000" w:rsidRPr="00707CE2">
        <w:tblPrEx>
          <w:tblCellMar>
            <w:top w:w="0" w:type="dxa"/>
            <w:bottom w:w="0" w:type="dxa"/>
          </w:tblCellMar>
        </w:tblPrEx>
        <w:trPr>
          <w:trHeight w:val="200"/>
        </w:trPr>
        <w:tc>
          <w:tcPr>
            <w:tcW w:w="3050" w:type="dxa"/>
            <w:vMerge w:val="restart"/>
            <w:tcBorders>
              <w:top w:val="single" w:sz="6" w:space="0" w:color="auto"/>
              <w:bottom w:val="nil"/>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Посада</w:t>
            </w:r>
          </w:p>
        </w:tc>
        <w:tc>
          <w:tcPr>
            <w:tcW w:w="4400" w:type="dxa"/>
            <w:vMerge w:val="restart"/>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 xml:space="preserve">Прізвище, ім'я, по батькові фізичної особи або повне найменування юридичної особи </w:t>
            </w:r>
          </w:p>
        </w:tc>
        <w:tc>
          <w:tcPr>
            <w:tcW w:w="1200" w:type="dxa"/>
            <w:vMerge w:val="restart"/>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 xml:space="preserve"> Кількість акцій (шт.)</w:t>
            </w:r>
          </w:p>
        </w:tc>
        <w:tc>
          <w:tcPr>
            <w:tcW w:w="1300" w:type="dxa"/>
            <w:vMerge w:val="restart"/>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Від загальної кількості акцій (у відсотках)</w:t>
            </w:r>
          </w:p>
        </w:tc>
        <w:tc>
          <w:tcPr>
            <w:tcW w:w="5171"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Кількість за видами акцій</w:t>
            </w:r>
          </w:p>
        </w:tc>
      </w:tr>
      <w:tr w:rsidR="00000000" w:rsidRPr="00707CE2">
        <w:tblPrEx>
          <w:tblCellMar>
            <w:top w:w="0" w:type="dxa"/>
            <w:bottom w:w="0" w:type="dxa"/>
          </w:tblCellMar>
        </w:tblPrEx>
        <w:trPr>
          <w:trHeight w:val="200"/>
        </w:trPr>
        <w:tc>
          <w:tcPr>
            <w:tcW w:w="3050" w:type="dxa"/>
            <w:vMerge/>
            <w:tcBorders>
              <w:top w:val="nil"/>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p>
        </w:tc>
        <w:tc>
          <w:tcPr>
            <w:tcW w:w="4400" w:type="dxa"/>
            <w:vMerge/>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p>
        </w:tc>
        <w:tc>
          <w:tcPr>
            <w:tcW w:w="1200" w:type="dxa"/>
            <w:vMerge/>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p>
        </w:tc>
        <w:tc>
          <w:tcPr>
            <w:tcW w:w="1300" w:type="dxa"/>
            <w:vMerge/>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p>
        </w:tc>
        <w:tc>
          <w:tcPr>
            <w:tcW w:w="24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Прості іменні</w:t>
            </w:r>
          </w:p>
        </w:tc>
        <w:tc>
          <w:tcPr>
            <w:tcW w:w="2771"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b/>
                <w:bCs/>
              </w:rPr>
              <w:t>Привілейовані іменні</w:t>
            </w:r>
          </w:p>
        </w:tc>
      </w:tr>
      <w:tr w:rsidR="00000000" w:rsidRPr="00707CE2">
        <w:tblPrEx>
          <w:tblCellMar>
            <w:top w:w="0" w:type="dxa"/>
            <w:bottom w:w="0" w:type="dxa"/>
          </w:tblCellMar>
        </w:tblPrEx>
        <w:trPr>
          <w:trHeight w:val="200"/>
        </w:trPr>
        <w:tc>
          <w:tcPr>
            <w:tcW w:w="3050" w:type="dxa"/>
            <w:tcBorders>
              <w:top w:val="nil"/>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w:t>
            </w:r>
          </w:p>
        </w:tc>
        <w:tc>
          <w:tcPr>
            <w:tcW w:w="44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w:t>
            </w:r>
          </w:p>
        </w:tc>
        <w:tc>
          <w:tcPr>
            <w:tcW w:w="13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5</w:t>
            </w:r>
          </w:p>
        </w:tc>
        <w:tc>
          <w:tcPr>
            <w:tcW w:w="2771"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6</w:t>
            </w:r>
          </w:p>
        </w:tc>
      </w:tr>
      <w:tr w:rsidR="00000000" w:rsidRPr="00707CE2">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Директор</w:t>
            </w:r>
          </w:p>
        </w:tc>
        <w:tc>
          <w:tcPr>
            <w:tcW w:w="44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Войтанiк Валерiй Олексiйович</w:t>
            </w:r>
          </w:p>
        </w:tc>
        <w:tc>
          <w:tcPr>
            <w:tcW w:w="12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1 790</w:t>
            </w:r>
          </w:p>
        </w:tc>
        <w:tc>
          <w:tcPr>
            <w:tcW w:w="13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52,0349</w:t>
            </w:r>
          </w:p>
        </w:tc>
        <w:tc>
          <w:tcPr>
            <w:tcW w:w="24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1 790</w:t>
            </w:r>
          </w:p>
        </w:tc>
        <w:tc>
          <w:tcPr>
            <w:tcW w:w="2771"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Член наглядової ради</w:t>
            </w:r>
          </w:p>
        </w:tc>
        <w:tc>
          <w:tcPr>
            <w:tcW w:w="44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Романюк Феодосiй Олександрович</w:t>
            </w:r>
          </w:p>
        </w:tc>
        <w:tc>
          <w:tcPr>
            <w:tcW w:w="12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w:t>
            </w:r>
          </w:p>
        </w:tc>
        <w:tc>
          <w:tcPr>
            <w:tcW w:w="13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0,11</w:t>
            </w:r>
          </w:p>
        </w:tc>
        <w:tc>
          <w:tcPr>
            <w:tcW w:w="24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w:t>
            </w:r>
          </w:p>
        </w:tc>
        <w:tc>
          <w:tcPr>
            <w:tcW w:w="2771"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305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Член наглядової ради</w:t>
            </w:r>
          </w:p>
        </w:tc>
        <w:tc>
          <w:tcPr>
            <w:tcW w:w="44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Чапаловська Тетяна Михайлiвна</w:t>
            </w:r>
          </w:p>
        </w:tc>
        <w:tc>
          <w:tcPr>
            <w:tcW w:w="12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16</w:t>
            </w:r>
          </w:p>
        </w:tc>
        <w:tc>
          <w:tcPr>
            <w:tcW w:w="13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0,4651</w:t>
            </w:r>
          </w:p>
        </w:tc>
        <w:tc>
          <w:tcPr>
            <w:tcW w:w="24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16</w:t>
            </w:r>
          </w:p>
        </w:tc>
        <w:tc>
          <w:tcPr>
            <w:tcW w:w="2771"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bl>
    <w:p w:rsidR="00000000" w:rsidRDefault="00707CE2">
      <w:pPr>
        <w:widowControl w:val="0"/>
        <w:autoSpaceDE w:val="0"/>
        <w:autoSpaceDN w:val="0"/>
        <w:adjustRightInd w:val="0"/>
        <w:spacing w:after="0" w:line="240" w:lineRule="auto"/>
        <w:rPr>
          <w:rFonts w:ascii="Times New Roman CYR" w:hAnsi="Times New Roman CYR" w:cs="Times New Roman CYR"/>
        </w:rPr>
      </w:pPr>
    </w:p>
    <w:p w:rsidR="00000000" w:rsidRDefault="00707CE2">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20" w:footer="720" w:gutter="0"/>
          <w:cols w:space="720"/>
          <w:noEndnote/>
        </w:sect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VI. Інформація про засновників та/або учасників емітента та відсоток акцій (часток, паїв)</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tblPr>
      <w:tblGrid>
        <w:gridCol w:w="2920"/>
        <w:gridCol w:w="1700"/>
        <w:gridCol w:w="3300"/>
        <w:gridCol w:w="2000"/>
      </w:tblGrid>
      <w:tr w:rsidR="00000000" w:rsidRPr="00707CE2">
        <w:tblPrEx>
          <w:tblCellMar>
            <w:top w:w="0" w:type="dxa"/>
            <w:bottom w:w="0" w:type="dxa"/>
          </w:tblCellMar>
        </w:tblPrEx>
        <w:trPr>
          <w:trHeight w:val="200"/>
        </w:trPr>
        <w:tc>
          <w:tcPr>
            <w:tcW w:w="292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Найменування юридичної особи засновника та/або учасника</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Ідентифікаційний код юридичної особи засновника та/або учасника</w:t>
            </w:r>
          </w:p>
        </w:tc>
        <w:tc>
          <w:tcPr>
            <w:tcW w:w="33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Місцезнаходження</w:t>
            </w:r>
          </w:p>
        </w:tc>
        <w:tc>
          <w:tcPr>
            <w:tcW w:w="2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Відсоток акцій (часток, паїв), які належать засновнику та/або учаснику (від загальної кількості)</w:t>
            </w:r>
          </w:p>
        </w:tc>
      </w:tr>
      <w:tr w:rsidR="00000000" w:rsidRPr="00707CE2">
        <w:tblPrEx>
          <w:tblCellMar>
            <w:top w:w="0" w:type="dxa"/>
            <w:bottom w:w="0" w:type="dxa"/>
          </w:tblCellMar>
        </w:tblPrEx>
        <w:trPr>
          <w:trHeight w:val="200"/>
        </w:trPr>
        <w:tc>
          <w:tcPr>
            <w:tcW w:w="292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17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33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2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r>
      <w:tr w:rsidR="00000000" w:rsidRPr="00707CE2">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Прізвище, ім'я, по батькові фізичної особи</w:t>
            </w:r>
          </w:p>
        </w:tc>
        <w:tc>
          <w:tcPr>
            <w:tcW w:w="2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Відсоток акцій (часток, паїв), які належать засновнику та/або учаснику (від загальної кількості)</w:t>
            </w:r>
          </w:p>
        </w:tc>
      </w:tr>
      <w:tr w:rsidR="00000000" w:rsidRPr="00707CE2">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засновниками (акцiонерами) товариства є 41 акцiонерiв</w:t>
            </w:r>
          </w:p>
        </w:tc>
        <w:tc>
          <w:tcPr>
            <w:tcW w:w="2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100</w:t>
            </w:r>
          </w:p>
        </w:tc>
      </w:tr>
      <w:tr w:rsidR="00000000" w:rsidRPr="00707CE2">
        <w:tblPrEx>
          <w:tblCellMar>
            <w:top w:w="0" w:type="dxa"/>
            <w:bottom w:w="0" w:type="dxa"/>
          </w:tblCellMar>
        </w:tblPrEx>
        <w:trPr>
          <w:trHeight w:val="200"/>
        </w:trPr>
        <w:tc>
          <w:tcPr>
            <w:tcW w:w="7920" w:type="dxa"/>
            <w:gridSpan w:val="3"/>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right"/>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Усього</w:t>
            </w:r>
          </w:p>
        </w:tc>
        <w:tc>
          <w:tcPr>
            <w:tcW w:w="2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100</w:t>
            </w:r>
          </w:p>
        </w:tc>
      </w:tr>
    </w:tbl>
    <w:p w:rsidR="00000000" w:rsidRDefault="00707CE2">
      <w:pPr>
        <w:widowControl w:val="0"/>
        <w:autoSpaceDE w:val="0"/>
        <w:autoSpaceDN w:val="0"/>
        <w:adjustRightInd w:val="0"/>
        <w:spacing w:after="0" w:line="240" w:lineRule="auto"/>
        <w:rPr>
          <w:rFonts w:ascii="Times New Roman CYR" w:hAnsi="Times New Roman CYR" w:cs="Times New Roman CYR"/>
        </w:r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VII. Звіт керівництва (звіт про управління)</w:t>
      </w:r>
    </w:p>
    <w:p w:rsidR="00000000" w:rsidRDefault="00707CE2">
      <w:pPr>
        <w:widowControl w:val="0"/>
        <w:autoSpaceDE w:val="0"/>
        <w:autoSpaceDN w:val="0"/>
        <w:adjustRightInd w:val="0"/>
        <w:spacing w:after="0" w:line="240" w:lineRule="auto"/>
        <w:jc w:val="center"/>
        <w:rPr>
          <w:rFonts w:ascii="Times New Roman CYR" w:hAnsi="Times New Roman CYR" w:cs="Times New Roman CYR"/>
          <w:sz w:val="28"/>
          <w:szCs w:val="28"/>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Вірогідні перспективи подальшого розвитку емітента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 перспективi пiдприємство планує продовжувати здiйснювати тi ж види дiяльностi, що i в звiтному роцi. Перспективнiсть подальшого розвитку емiтента залежить вiд законодавчих змiн, вона пов'язана iз забезпеченням прийняття та виконання адекватних управлiнсь</w:t>
      </w:r>
      <w:r>
        <w:rPr>
          <w:rFonts w:ascii="Times New Roman CYR" w:hAnsi="Times New Roman CYR" w:cs="Times New Roman CYR"/>
          <w:sz w:val="24"/>
          <w:szCs w:val="24"/>
        </w:rPr>
        <w:t>ких рiшень вiдповiдно до змiн зовнiшнього середовища. Перспективи подальшого розвитку пiдприємства визначаються рiвнем ефективностi реалiзацiї фiнансової, iнвестицiйної, iнновацiйної полiтик, покращення кадрового забезпечення, успiшної реалiзацiї маркетинг</w:t>
      </w:r>
      <w:r>
        <w:rPr>
          <w:rFonts w:ascii="Times New Roman CYR" w:hAnsi="Times New Roman CYR" w:cs="Times New Roman CYR"/>
          <w:sz w:val="24"/>
          <w:szCs w:val="24"/>
        </w:rPr>
        <w:t>ових програм тощо. Для Емiтента необхiдним є розроблення та запровадження рацiональної економiчної полiтики розвитку з метою досягнення ефективних результатiв своєї дiяльностi та конкурентоспроможностi пiдприємства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Інформація про розвиток емітента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ПРИВ</w:t>
      </w:r>
      <w:r>
        <w:rPr>
          <w:rFonts w:ascii="Times New Roman CYR" w:hAnsi="Times New Roman CYR" w:cs="Times New Roman CYR"/>
          <w:sz w:val="24"/>
          <w:szCs w:val="24"/>
        </w:rPr>
        <w:t>АТНЕ АКЦIОНЕРНЕ ТОВАРИСТВО "ВОЛИНСЬКА ФIРМА "ОДЯГ" (надалi Товариство) перейменоване iз Закритого акцiонерного товариства Волинська фiрма "Одяг", яке засноване на пiдставi наказу про приватизацiю Волинського орендного пiдприємства "Одяг". Договiр купiвлi-п</w:t>
      </w:r>
      <w:r>
        <w:rPr>
          <w:rFonts w:ascii="Times New Roman CYR" w:hAnsi="Times New Roman CYR" w:cs="Times New Roman CYR"/>
          <w:sz w:val="24"/>
          <w:szCs w:val="24"/>
        </w:rPr>
        <w:t>родажу державного майна укладено з регiональним вiддiленням Фонду державного майна України по Волинськiй областi 16 березня 1994року № 54,згiдно з рiшенням установчих зборiв вiд 21 червня 1994року, протокол № I i є  правонаступником всiх його майнових прав</w:t>
      </w:r>
      <w:r>
        <w:rPr>
          <w:rFonts w:ascii="Times New Roman CYR" w:hAnsi="Times New Roman CYR" w:cs="Times New Roman CYR"/>
          <w:sz w:val="24"/>
          <w:szCs w:val="24"/>
        </w:rPr>
        <w:t xml:space="preserve"> та обов'язкiв.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укладення деривативів або вчинення правочинів щодо похідних цінних паперів емітентом, якщо це впливає на оцінку його активів, зобов'язань, фінансового стану і доходів або витрат емітента, зокрема інформацію про:</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Емiтентом</w:t>
      </w:r>
      <w:r>
        <w:rPr>
          <w:rFonts w:ascii="Times New Roman CYR" w:hAnsi="Times New Roman CYR" w:cs="Times New Roman CYR"/>
          <w:sz w:val="24"/>
          <w:szCs w:val="24"/>
        </w:rPr>
        <w:t xml:space="preserve"> не укладалися деривативи, правочини щодо похiдних цiнних паперiв, тому вплив даних факторiв на оцiнку активiв, зобов'язань, фiнансового стану i доходiв або витрат Емiтента вiдсутнiй.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завдання та політику емітента щодо управління фінансовими ризиками,</w:t>
      </w:r>
      <w:r>
        <w:rPr>
          <w:rFonts w:ascii="Times New Roman CYR" w:hAnsi="Times New Roman CYR" w:cs="Times New Roman CYR"/>
          <w:b/>
          <w:bCs/>
          <w:sz w:val="24"/>
          <w:szCs w:val="24"/>
        </w:rPr>
        <w:t xml:space="preserve"> у тому числі політику щодо страхування кожного основного виду прогнозованої операції, для якої </w:t>
      </w:r>
      <w:r>
        <w:rPr>
          <w:rFonts w:ascii="Times New Roman CYR" w:hAnsi="Times New Roman CYR" w:cs="Times New Roman CYR"/>
          <w:b/>
          <w:bCs/>
          <w:sz w:val="24"/>
          <w:szCs w:val="24"/>
        </w:rPr>
        <w:lastRenderedPageBreak/>
        <w:t>використовуються операції хеджування</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Завдання та полiтика емiтента щодо управлiння фiнансовими ризиками передбачає здiйснення таких основних заходiв: - iдентифi</w:t>
      </w:r>
      <w:r>
        <w:rPr>
          <w:rFonts w:ascii="Times New Roman CYR" w:hAnsi="Times New Roman CYR" w:cs="Times New Roman CYR"/>
          <w:sz w:val="24"/>
          <w:szCs w:val="24"/>
        </w:rPr>
        <w:t>кацiя окремих видiв ризикiв, пов'язаних з фiнансовою дiяльнiстю пiдприємства. Процес iдентифiкацiї окремих видiв фiнансових ризикiв передбачає видiлення систематичних та несистематичних видiв ризикiв, що характернi для господарської дiяльностi пiдприємства</w:t>
      </w:r>
      <w:r>
        <w:rPr>
          <w:rFonts w:ascii="Times New Roman CYR" w:hAnsi="Times New Roman CYR" w:cs="Times New Roman CYR"/>
          <w:sz w:val="24"/>
          <w:szCs w:val="24"/>
        </w:rPr>
        <w:t>, а також формування загального портфеля фiнансових ризикiв, пов'язаних з дiяльнiстю пiдприємства; - оцiнка широти i достовiрностi iнформацiї, необхiдної для визначення рiвня фiнансових ризикiв; - визначення розмiру можливих фiнансових втрат при настаннi р</w:t>
      </w:r>
      <w:r>
        <w:rPr>
          <w:rFonts w:ascii="Times New Roman CYR" w:hAnsi="Times New Roman CYR" w:cs="Times New Roman CYR"/>
          <w:sz w:val="24"/>
          <w:szCs w:val="24"/>
        </w:rPr>
        <w:t>изикової подiї за окремими видами фiнансових ризикiв. Розмiр можливих фiнансових втрат визначається характером здiйснюваних фiнансових операцiй, обсягом задiяних в них активiв (капiталу) та максимальним рiвнем амплiтуди коливання доходiв при вiдповiдних ви</w:t>
      </w:r>
      <w:r>
        <w:rPr>
          <w:rFonts w:ascii="Times New Roman CYR" w:hAnsi="Times New Roman CYR" w:cs="Times New Roman CYR"/>
          <w:sz w:val="24"/>
          <w:szCs w:val="24"/>
        </w:rPr>
        <w:t>дах фiнансових ризикiв. Емiтент у звiтному роцi не використовував страхування кожного основного виду прогнозованої операцiї та хеджування як метод страхування цiнового ризику.</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2) схильність емітента до цінових ризиків, кредитного ризику, ризику ліквідност</w:t>
      </w:r>
      <w:r>
        <w:rPr>
          <w:rFonts w:ascii="Times New Roman CYR" w:hAnsi="Times New Roman CYR" w:cs="Times New Roman CYR"/>
          <w:b/>
          <w:bCs/>
          <w:sz w:val="24"/>
          <w:szCs w:val="24"/>
        </w:rPr>
        <w:t>і та/або ризику грошових потоків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 як i будь-яке iнше пiдприємство, в сучасних умовах економiчного розвитку країни, з урахуванням характеру державного регулювання фiнансової дiяльностi пiдприємства, темпiв iнфляцiї в країнi, рiвня конкуренцiї в окре</w:t>
      </w:r>
      <w:r>
        <w:rPr>
          <w:rFonts w:ascii="Times New Roman CYR" w:hAnsi="Times New Roman CYR" w:cs="Times New Roman CYR"/>
          <w:sz w:val="24"/>
          <w:szCs w:val="24"/>
        </w:rPr>
        <w:t>мих сегментах фiнансового ринку, в достатнiй мiрi є схильним до цiнових ризикiв, кредитного ризику, ризику лiквiдностi та/або ризику грошових потокiв.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4. Звіт про корпоративне управління:</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 посилання на: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власний кодекс корпоративного управління, яким кер</w:t>
      </w:r>
      <w:r>
        <w:rPr>
          <w:rFonts w:ascii="Times New Roman CYR" w:hAnsi="Times New Roman CYR" w:cs="Times New Roman CYR"/>
          <w:b/>
          <w:bCs/>
          <w:sz w:val="24"/>
          <w:szCs w:val="24"/>
        </w:rPr>
        <w:t>ується емітент</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Товариство в своїй дiяльностi не керується власним кодексом корпоративного управлiння. Вiдповiдно до вимог чинного законодавства України, Товариство не зобов'язане мати власний кодекс корпоративного управлiння. Ст.33 Закону України "Про акцi</w:t>
      </w:r>
      <w:r>
        <w:rPr>
          <w:rFonts w:ascii="Times New Roman CYR" w:hAnsi="Times New Roman CYR" w:cs="Times New Roman CYR"/>
          <w:sz w:val="24"/>
          <w:szCs w:val="24"/>
        </w:rPr>
        <w:t xml:space="preserve">онернi товариства" питання затвердження принципiв (кодексу) корпоративного управлiння товариства вiднесено до виключної компетенцiї загальних зборiв акцiонерiв. Загальними зборами акцiонерiв Товариства кодекс корпоративного управлiння не затверджувався. У </w:t>
      </w:r>
      <w:r>
        <w:rPr>
          <w:rFonts w:ascii="Times New Roman CYR" w:hAnsi="Times New Roman CYR" w:cs="Times New Roman CYR"/>
          <w:sz w:val="24"/>
          <w:szCs w:val="24"/>
        </w:rPr>
        <w:t>зв'язку з цим, посилання на власний кодекс корпоративного управлiння, яким керується емiтент, не наводиться.</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кодекс корпоративного управління фондової біржі, об'єднання юридичних осіб або інший кодекс корпоративного управління, який емітент добровільно ви</w:t>
      </w:r>
      <w:r>
        <w:rPr>
          <w:rFonts w:ascii="Times New Roman CYR" w:hAnsi="Times New Roman CYR" w:cs="Times New Roman CYR"/>
          <w:b/>
          <w:bCs/>
          <w:sz w:val="24"/>
          <w:szCs w:val="24"/>
        </w:rPr>
        <w:t>рішив застосовувати</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Емiтент не приймав рiшень про добровiльне застосовування Кодексу корпоративного управлiння фондової бiржi, об'єднання юридичних осiб або iншого Товариство не користується кодексом корпоративного управлiння фондової бiржi, об'єднання юри</w:t>
      </w:r>
      <w:r>
        <w:rPr>
          <w:rFonts w:ascii="Times New Roman CYR" w:hAnsi="Times New Roman CYR" w:cs="Times New Roman CYR"/>
          <w:sz w:val="24"/>
          <w:szCs w:val="24"/>
        </w:rPr>
        <w:t>дичних осiб або iншим кодексом корпоративного управлiння. Товариством не приймалося рiшення про добровiльне застосування перелiчених кодексiв. Крiм того, акцiї Товариства на фондових бiржах не торгуються, Товариство не є членом будь-якого об'єднання юридич</w:t>
      </w:r>
      <w:r>
        <w:rPr>
          <w:rFonts w:ascii="Times New Roman CYR" w:hAnsi="Times New Roman CYR" w:cs="Times New Roman CYR"/>
          <w:sz w:val="24"/>
          <w:szCs w:val="24"/>
        </w:rPr>
        <w:t xml:space="preserve">них осiб. У зв'язку з цим, посилання на зазначенi в цьому пунктi кодекси не наводяться.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вся відповідна інформація про практику корпоративного управління, застосовувану понад визначені законодавством вимоги</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Посилання на всю вiдповiдну iнформацiю про практ</w:t>
      </w:r>
      <w:r>
        <w:rPr>
          <w:rFonts w:ascii="Times New Roman CYR" w:hAnsi="Times New Roman CYR" w:cs="Times New Roman CYR"/>
          <w:sz w:val="24"/>
          <w:szCs w:val="24"/>
        </w:rPr>
        <w:t>ику корпоративного управлiння, застосовану понад визначенi законодавством вимоги: принципи корпоративного управлiння, що застосовуються Товариством в своїй дiяльностi, визначенi чинним законодавством України та Статутом. Будь-яка iнша практика корпоративно</w:t>
      </w:r>
      <w:r>
        <w:rPr>
          <w:rFonts w:ascii="Times New Roman CYR" w:hAnsi="Times New Roman CYR" w:cs="Times New Roman CYR"/>
          <w:sz w:val="24"/>
          <w:szCs w:val="24"/>
        </w:rPr>
        <w:t>го управлiння не застосовується..</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 xml:space="preserve">2) у разі якщо емітент відхиляється від положень кодексу корпоративного управління, </w:t>
      </w:r>
      <w:r>
        <w:rPr>
          <w:rFonts w:ascii="Times New Roman CYR" w:hAnsi="Times New Roman CYR" w:cs="Times New Roman CYR"/>
          <w:b/>
          <w:bCs/>
          <w:sz w:val="24"/>
          <w:szCs w:val="24"/>
        </w:rPr>
        <w:lastRenderedPageBreak/>
        <w:t>зазначено</w:t>
      </w:r>
      <w:r>
        <w:rPr>
          <w:rFonts w:ascii="Times New Roman CYR" w:hAnsi="Times New Roman CYR" w:cs="Times New Roman CYR"/>
          <w:b/>
          <w:bCs/>
          <w:sz w:val="24"/>
          <w:szCs w:val="24"/>
        </w:rPr>
        <w:t>го в абзацах другому або третьому пункту 1 цієї частини, надайте пояснення, від яких частин кодексу корпоративного управління такий емітент відхиляється і причини таких відхилень. У разі якщо емітент прийняв рішення не застосовувати деякі положення кодексу</w:t>
      </w:r>
      <w:r>
        <w:rPr>
          <w:rFonts w:ascii="Times New Roman CYR" w:hAnsi="Times New Roman CYR" w:cs="Times New Roman CYR"/>
          <w:b/>
          <w:bCs/>
          <w:sz w:val="24"/>
          <w:szCs w:val="24"/>
        </w:rPr>
        <w:t xml:space="preserve"> корпоративного управління, зазначеного в абзацах другому або третьому пункту 1 цієї частини, обґрунтуйте причини таких дій</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Iнформацiя щодо вiдхилень вiд положень кодексу корпоративного управлiння не наводиться, оскiльки Товариство не має власного кодексу </w:t>
      </w:r>
      <w:r>
        <w:rPr>
          <w:rFonts w:ascii="Times New Roman CYR" w:hAnsi="Times New Roman CYR" w:cs="Times New Roman CYR"/>
          <w:sz w:val="24"/>
          <w:szCs w:val="24"/>
        </w:rPr>
        <w:t xml:space="preserve">корпоративного управлiння та не користується кодексами корпоративного управлiння iнших пiдприємств, установ, органiзацiй.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3) інформація про загальні збори акціонерів (учасників)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4000"/>
        <w:gridCol w:w="2000"/>
        <w:gridCol w:w="2000"/>
      </w:tblGrid>
      <w:tr w:rsidR="00000000" w:rsidRPr="00707CE2">
        <w:tblPrEx>
          <w:tblCellMar>
            <w:top w:w="0" w:type="dxa"/>
            <w:bottom w:w="0" w:type="dxa"/>
          </w:tblCellMar>
        </w:tblPrEx>
        <w:trPr>
          <w:trHeight w:val="253"/>
        </w:trPr>
        <w:tc>
          <w:tcPr>
            <w:tcW w:w="6000" w:type="dxa"/>
            <w:gridSpan w:val="2"/>
            <w:vMerge w:val="restart"/>
            <w:tcBorders>
              <w:top w:val="single" w:sz="6" w:space="0" w:color="auto"/>
              <w:bottom w:val="nil"/>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Вид загальних зборів</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річні</w:t>
            </w:r>
          </w:p>
        </w:tc>
        <w:tc>
          <w:tcPr>
            <w:tcW w:w="2000" w:type="dxa"/>
            <w:vMerge w:val="restart"/>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позачергові</w:t>
            </w:r>
          </w:p>
        </w:tc>
      </w:tr>
      <w:tr w:rsidR="00000000" w:rsidRPr="00707CE2">
        <w:tblPrEx>
          <w:tblCellMar>
            <w:top w:w="0" w:type="dxa"/>
            <w:bottom w:w="0" w:type="dxa"/>
          </w:tblCellMar>
        </w:tblPrEx>
        <w:trPr>
          <w:trHeight w:val="200"/>
        </w:trPr>
        <w:tc>
          <w:tcPr>
            <w:tcW w:w="6000" w:type="dxa"/>
            <w:gridSpan w:val="2"/>
            <w:vMerge/>
            <w:tcBorders>
              <w:top w:val="nil"/>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2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r>
      <w:tr w:rsidR="00000000" w:rsidRPr="00707CE2">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Дата проведення</w:t>
            </w:r>
          </w:p>
        </w:tc>
        <w:tc>
          <w:tcPr>
            <w:tcW w:w="4000" w:type="dxa"/>
            <w:gridSpan w:val="2"/>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r>
      <w:tr w:rsidR="00000000" w:rsidRPr="00707CE2">
        <w:tblPrEx>
          <w:tblCellMar>
            <w:top w:w="0" w:type="dxa"/>
            <w:bottom w:w="0" w:type="dxa"/>
          </w:tblCellMar>
        </w:tblPrEx>
        <w:trPr>
          <w:trHeight w:val="200"/>
        </w:trPr>
        <w:tc>
          <w:tcPr>
            <w:tcW w:w="6000" w:type="dxa"/>
            <w:gridSpan w:val="2"/>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Кворум зборів</w:t>
            </w:r>
          </w:p>
        </w:tc>
        <w:tc>
          <w:tcPr>
            <w:tcW w:w="4000"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Опис</w:t>
            </w:r>
          </w:p>
        </w:tc>
        <w:tc>
          <w:tcPr>
            <w:tcW w:w="8000" w:type="dxa"/>
            <w:gridSpan w:val="3"/>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rPr>
            </w:pPr>
            <w:r w:rsidRPr="00707CE2">
              <w:rPr>
                <w:rFonts w:ascii="Times New Roman CYR" w:eastAsiaTheme="minorEastAsia" w:hAnsi="Times New Roman CYR" w:cs="Times New Roman CYR"/>
              </w:rPr>
              <w:t>У Звiтному роцi загальнi збори не скликались.</w:t>
            </w:r>
          </w:p>
        </w:tc>
      </w:tr>
    </w:tbl>
    <w:p w:rsidR="00000000" w:rsidRDefault="00707CE2">
      <w:pPr>
        <w:widowControl w:val="0"/>
        <w:autoSpaceDE w:val="0"/>
        <w:autoSpaceDN w:val="0"/>
        <w:adjustRightInd w:val="0"/>
        <w:spacing w:after="0" w:line="240" w:lineRule="auto"/>
        <w:rPr>
          <w:rFonts w:ascii="Times New Roman CYR" w:hAnsi="Times New Roman CYR" w:cs="Times New Roman CYR"/>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Який орган здійснював реєстрацію акціонерів для участі в загальних зборах акціонерів останнього разу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Реєстраційна комісія, призначена особою, що скликала загальні збори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Акціонери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Депозитарна установа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Який орган здійснював контроль за станом реєстрації акціонерів або їх представників для участі в останніх загальних зборах у звітному році </w:t>
      </w:r>
      <w:r>
        <w:rPr>
          <w:rFonts w:ascii="Times New Roman CYR" w:hAnsi="Times New Roman CYR" w:cs="Times New Roman CYR"/>
          <w:sz w:val="24"/>
          <w:szCs w:val="24"/>
        </w:rPr>
        <w:t>(за наявності контролю)</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Національна комісія з цінних паперів та фондового ринку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Акціонери, які володіють у сукупності більше ніж 10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У який спосіб відбувалось голосування з питань порядку денного на загальних зборах останнього разу у звітному р</w:t>
      </w:r>
      <w:r>
        <w:rPr>
          <w:rFonts w:ascii="Times New Roman CYR" w:hAnsi="Times New Roman CYR" w:cs="Times New Roman CYR"/>
          <w:b/>
          <w:bCs/>
          <w:sz w:val="24"/>
          <w:szCs w:val="24"/>
        </w:rPr>
        <w:t>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Підняттям карток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Бюлетенями (таємне голосування)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Підняттям рук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основні причини скликання останніх позачергових зборів у звітному році?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Реорганізація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Додатковий випуск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Унесення змін до статуту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Прийняття рішення про збільшення статутного капіталу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Прийняття рішення про зменшення статутного капіталу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lastRenderedPageBreak/>
              <w:t>Обрання або припинення повноважень голови та членів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Обрання або припинення повноважень членів виконавчого органу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Обрання або припинення повноважень членів ревізійної комісії (ревізора)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Делегування додаткових повноважень наглядовій раді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Чи проводили</w:t>
      </w:r>
      <w:r>
        <w:rPr>
          <w:rFonts w:ascii="Times New Roman CYR" w:hAnsi="Times New Roman CYR" w:cs="Times New Roman CYR"/>
          <w:b/>
          <w:bCs/>
          <w:sz w:val="24"/>
          <w:szCs w:val="24"/>
        </w:rPr>
        <w:t>сь у звітному році загальні збори акціонерів у формі заочного голосування?</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У разі скликання позачергових загальних зборів зазначаються їх ініціатори: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Наглядова рада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Виконавчий орган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Ревізійна комісія (ревізор)</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Акціонери (акціонер), які (який) на день подання вимоги сукупно є власниками (власником) 10 і більше відсотків голосуючих акцій товариства </w:t>
            </w:r>
          </w:p>
        </w:tc>
        <w:tc>
          <w:tcPr>
            <w:tcW w:w="3000"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Інше (зазначити)</w:t>
            </w:r>
          </w:p>
        </w:tc>
        <w:tc>
          <w:tcPr>
            <w:tcW w:w="3000"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0"/>
        <w:gridCol w:w="5000"/>
      </w:tblGrid>
      <w:tr w:rsidR="00000000" w:rsidRPr="00707CE2">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b/>
                <w:bCs/>
                <w:sz w:val="24"/>
                <w:szCs w:val="24"/>
              </w:rPr>
              <w:t>У разі скликання, але непроведення чергових загальних зборів зазначається причина їх непроведення</w:t>
            </w:r>
          </w:p>
        </w:tc>
        <w:tc>
          <w:tcPr>
            <w:tcW w:w="5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000"/>
        <w:gridCol w:w="5000"/>
      </w:tblGrid>
      <w:tr w:rsidR="00000000" w:rsidRPr="00707CE2">
        <w:tblPrEx>
          <w:tblCellMar>
            <w:top w:w="0" w:type="dxa"/>
            <w:bottom w:w="0" w:type="dxa"/>
          </w:tblCellMar>
        </w:tblPrEx>
        <w:trPr>
          <w:trHeight w:val="200"/>
        </w:trPr>
        <w:tc>
          <w:tcPr>
            <w:tcW w:w="5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b/>
                <w:bCs/>
                <w:sz w:val="24"/>
                <w:szCs w:val="24"/>
              </w:rPr>
              <w:t>У разі скликання, але непроведення позачергових загальних зборів зазначається причина їх непроведення</w:t>
            </w:r>
          </w:p>
        </w:tc>
        <w:tc>
          <w:tcPr>
            <w:tcW w:w="5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4) інформація про наглядову раду та виконавчий орган емітента</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Склад наглядової ради (за наявності) </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000"/>
        <w:gridCol w:w="1600"/>
        <w:gridCol w:w="1500"/>
        <w:gridCol w:w="4900"/>
      </w:tblGrid>
      <w:tr w:rsidR="00000000" w:rsidRPr="00707CE2">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4"/>
                <w:szCs w:val="24"/>
              </w:rPr>
            </w:pPr>
            <w:r w:rsidRPr="00707CE2">
              <w:rPr>
                <w:rFonts w:ascii="Times New Roman CYR" w:eastAsiaTheme="minorEastAsia" w:hAnsi="Times New Roman CYR" w:cs="Times New Roman CYR"/>
                <w:b/>
                <w:bCs/>
                <w:sz w:val="24"/>
                <w:szCs w:val="24"/>
              </w:rPr>
              <w:t>Персональний склад наглядової ради</w:t>
            </w:r>
          </w:p>
        </w:tc>
        <w:tc>
          <w:tcPr>
            <w:tcW w:w="16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4"/>
                <w:szCs w:val="24"/>
              </w:rPr>
            </w:pPr>
            <w:r w:rsidRPr="00707CE2">
              <w:rPr>
                <w:rFonts w:ascii="Times New Roman CYR" w:eastAsiaTheme="minorEastAsia" w:hAnsi="Times New Roman CYR" w:cs="Times New Roman CYR"/>
                <w:b/>
                <w:bCs/>
                <w:sz w:val="24"/>
                <w:szCs w:val="24"/>
              </w:rPr>
              <w:t>Незалежний член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4"/>
                <w:szCs w:val="24"/>
              </w:rPr>
            </w:pPr>
            <w:r w:rsidRPr="00707CE2">
              <w:rPr>
                <w:rFonts w:ascii="Times New Roman CYR" w:eastAsiaTheme="minorEastAsia" w:hAnsi="Times New Roman CYR" w:cs="Times New Roman CYR"/>
                <w:b/>
                <w:bCs/>
                <w:sz w:val="24"/>
                <w:szCs w:val="24"/>
              </w:rPr>
              <w:t>Залежний член наглядової ради</w:t>
            </w:r>
          </w:p>
        </w:tc>
        <w:tc>
          <w:tcPr>
            <w:tcW w:w="49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b/>
                <w:bCs/>
                <w:sz w:val="24"/>
                <w:szCs w:val="24"/>
              </w:rPr>
              <w:t>Функціональні обов'язки члена наглядової ради</w:t>
            </w:r>
          </w:p>
        </w:tc>
      </w:tr>
      <w:tr w:rsidR="00000000" w:rsidRPr="00707CE2">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Войтанiк Тетяна Олександрiвна</w:t>
            </w:r>
          </w:p>
        </w:tc>
        <w:tc>
          <w:tcPr>
            <w:tcW w:w="16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c>
          <w:tcPr>
            <w:tcW w:w="49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До повноважень посадової особи як голови Наглядової ради вiдноситься захист прав акцiонерiв Товариства, контроль за дiяльнiстю виконавчого органу. Обов'язками голови Наглядової ради є координацiя дiяльностi Наглядової ради </w:t>
            </w:r>
            <w:r w:rsidRPr="00707CE2">
              <w:rPr>
                <w:rFonts w:ascii="Times New Roman CYR" w:eastAsiaTheme="minorEastAsia" w:hAnsi="Times New Roman CYR" w:cs="Times New Roman CYR"/>
                <w:sz w:val="24"/>
                <w:szCs w:val="24"/>
              </w:rPr>
              <w:t xml:space="preserve">для належного виконання Наглядовою радою своїх функцiй, зокрема скликання засiдань Наглядової ради, головування на них, затвердження порядку </w:t>
            </w:r>
          </w:p>
        </w:tc>
      </w:tr>
      <w:tr w:rsidR="00000000" w:rsidRPr="00707CE2">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Романюк </w:t>
            </w:r>
            <w:r w:rsidRPr="00707CE2">
              <w:rPr>
                <w:rFonts w:ascii="Times New Roman CYR" w:eastAsiaTheme="minorEastAsia" w:hAnsi="Times New Roman CYR" w:cs="Times New Roman CYR"/>
                <w:sz w:val="24"/>
                <w:szCs w:val="24"/>
              </w:rPr>
              <w:lastRenderedPageBreak/>
              <w:t>Феодосiй Олександрович</w:t>
            </w:r>
          </w:p>
        </w:tc>
        <w:tc>
          <w:tcPr>
            <w:tcW w:w="16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c>
          <w:tcPr>
            <w:tcW w:w="49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До повноважень посадової особи як члена </w:t>
            </w:r>
            <w:r w:rsidRPr="00707CE2">
              <w:rPr>
                <w:rFonts w:ascii="Times New Roman CYR" w:eastAsiaTheme="minorEastAsia" w:hAnsi="Times New Roman CYR" w:cs="Times New Roman CYR"/>
                <w:sz w:val="24"/>
                <w:szCs w:val="24"/>
              </w:rPr>
              <w:lastRenderedPageBreak/>
              <w:t>Наглядової ради вiдноситься представлення iнтересiв акцiонерiв в перервi мiж проведенням загальних зборiв акцiонерiв шляхом прийняття рiшень на засiданнях Наглядової ради. Обов'язками члена Наглядової ради є брати уч</w:t>
            </w:r>
            <w:r w:rsidRPr="00707CE2">
              <w:rPr>
                <w:rFonts w:ascii="Times New Roman CYR" w:eastAsiaTheme="minorEastAsia" w:hAnsi="Times New Roman CYR" w:cs="Times New Roman CYR"/>
                <w:sz w:val="24"/>
                <w:szCs w:val="24"/>
              </w:rPr>
              <w:t>асть у засiданнях Наглядової ради для забезпечення прийняття Наглядовою радою рiшень, що стосуються дiяльностi Товариства. Повний обсяг повноважень i обов'язкiв посадової особи викладено в Статутi Товариства.</w:t>
            </w:r>
          </w:p>
        </w:tc>
      </w:tr>
      <w:tr w:rsidR="00000000" w:rsidRPr="00707CE2">
        <w:tblPrEx>
          <w:tblCellMar>
            <w:top w:w="0" w:type="dxa"/>
            <w:bottom w:w="0" w:type="dxa"/>
          </w:tblCellMar>
        </w:tblPrEx>
        <w:trPr>
          <w:trHeight w:val="200"/>
        </w:trPr>
        <w:tc>
          <w:tcPr>
            <w:tcW w:w="2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lastRenderedPageBreak/>
              <w:t>Чапаловська Тетяна Михайлiвна</w:t>
            </w:r>
          </w:p>
        </w:tc>
        <w:tc>
          <w:tcPr>
            <w:tcW w:w="16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c>
          <w:tcPr>
            <w:tcW w:w="49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До повноважен</w:t>
            </w:r>
            <w:r w:rsidRPr="00707CE2">
              <w:rPr>
                <w:rFonts w:ascii="Times New Roman CYR" w:eastAsiaTheme="minorEastAsia" w:hAnsi="Times New Roman CYR" w:cs="Times New Roman CYR"/>
                <w:sz w:val="24"/>
                <w:szCs w:val="24"/>
              </w:rPr>
              <w:t>ь посадової особи як члена Наглядової ради вiдноситься представлення iнтересiв акцiонерiв в перервi мiж проведенням загальних зборiв акцiонерiв шляхом прийняття рiшень на засiданнях Наглядової ради. Обов'язками члена Наглядової ради є брати участь у засiда</w:t>
            </w:r>
            <w:r w:rsidRPr="00707CE2">
              <w:rPr>
                <w:rFonts w:ascii="Times New Roman CYR" w:eastAsiaTheme="minorEastAsia" w:hAnsi="Times New Roman CYR" w:cs="Times New Roman CYR"/>
                <w:sz w:val="24"/>
                <w:szCs w:val="24"/>
              </w:rPr>
              <w:t>ннях Наглядової ради для забезпечення прийняття Наглядовою радою рiшень, що стосуються дiяльностi Товариства. Повний обсяг повноважень i обов'язкiв посадової особи викладено в Статутi Товариства.</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b/>
                <w:bCs/>
                <w:sz w:val="24"/>
                <w:szCs w:val="24"/>
              </w:rPr>
              <w:t>Чи проведені засідання наглядової ради, загальний опис прийнятих на них рішень; процедури, що застосовуються при прийнятті наглядовою радою рішень; визначення, як діяльність наглядової ради зумовила зміни у фінансово-господарській діяльності товариства</w:t>
            </w:r>
          </w:p>
        </w:tc>
        <w:tc>
          <w:tcPr>
            <w:tcW w:w="7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 з</w:t>
            </w:r>
            <w:r w:rsidRPr="00707CE2">
              <w:rPr>
                <w:rFonts w:ascii="Times New Roman CYR" w:eastAsiaTheme="minorEastAsia" w:hAnsi="Times New Roman CYR" w:cs="Times New Roman CYR"/>
                <w:sz w:val="24"/>
                <w:szCs w:val="24"/>
              </w:rPr>
              <w:t>вiтному роцi були проведенi засiдання Наглядової ради Товариства:</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05.01.2022р - на засiданнi Наглядової ради  розглядався та затверджувався  звiт  директора  по  результатах  фiнансово - господарської  дiяльностi  Товариства  за   IV  квартал  2021 року. </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22.02.2022р - на засiданнi наглядової  ради приймались рiшення, пов'язанi з органiзацiєю скликання та проведення загальних зборiв акцiонерiв, а саме: про  проведення  рiчних  загальних  зборiв  акцiонерiв, затвердження  порядку  денного та проекту рiшень</w:t>
            </w:r>
            <w:r w:rsidRPr="00707CE2">
              <w:rPr>
                <w:rFonts w:ascii="Times New Roman CYR" w:eastAsiaTheme="minorEastAsia" w:hAnsi="Times New Roman CYR" w:cs="Times New Roman CYR"/>
                <w:sz w:val="24"/>
                <w:szCs w:val="24"/>
              </w:rPr>
              <w:t>,  визначення  дати  складання  перелiку  акцiонерiв  на  повiдомлення  про  участь  у  рiчних  загальних  зборах  акцiонерiв, визначення  дати  складання  перелiку  акцiонерiв  на участь  у  рiчних  загальних  зборах  акцiонерiв. Крiм цього затверджено рi</w:t>
            </w:r>
            <w:r w:rsidRPr="00707CE2">
              <w:rPr>
                <w:rFonts w:ascii="Times New Roman CYR" w:eastAsiaTheme="minorEastAsia" w:hAnsi="Times New Roman CYR" w:cs="Times New Roman CYR"/>
                <w:sz w:val="24"/>
                <w:szCs w:val="24"/>
              </w:rPr>
              <w:t>чну регулярну iнформацiю для подання до Нацiональної комiсiї з цiнних паперiв та розмiщення на веб сайтi.</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01.03.2022р - на засiданнi Наглядової ради приймались рiшення про укладення  договору  на постачання електричної енергiї для забезпечення потреб елек</w:t>
            </w:r>
            <w:r w:rsidRPr="00707CE2">
              <w:rPr>
                <w:rFonts w:ascii="Times New Roman CYR" w:eastAsiaTheme="minorEastAsia" w:hAnsi="Times New Roman CYR" w:cs="Times New Roman CYR"/>
                <w:sz w:val="24"/>
                <w:szCs w:val="24"/>
              </w:rPr>
              <w:t>троустановок ПрАТ " Волинська  фiрма  "Одяг" та про нарахування додаткової зарплати.</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 </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18.03. 2022  - на Засiданнi Наглядової ради приймались рiшення  </w:t>
            </w:r>
            <w:r w:rsidRPr="00707CE2">
              <w:rPr>
                <w:rFonts w:ascii="Times New Roman CYR" w:eastAsiaTheme="minorEastAsia" w:hAnsi="Times New Roman CYR" w:cs="Times New Roman CYR"/>
                <w:sz w:val="24"/>
                <w:szCs w:val="24"/>
              </w:rPr>
              <w:lastRenderedPageBreak/>
              <w:t>про перенесення дати проведення загальних зборiв у зв'язку з дiєю воєнного стану.</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22.04.2022 - на засiд</w:t>
            </w:r>
            <w:r w:rsidRPr="00707CE2">
              <w:rPr>
                <w:rFonts w:ascii="Times New Roman CYR" w:eastAsiaTheme="minorEastAsia" w:hAnsi="Times New Roman CYR" w:cs="Times New Roman CYR"/>
                <w:sz w:val="24"/>
                <w:szCs w:val="24"/>
              </w:rPr>
              <w:t>аннi Наглядової ради затверджено Звiт  директора  по  результатах  фiнансово - господарської  дiяльностi  Товариства  за  I квартал  2022 року та рiчну регулярну iнформацiю для подання до Нацiональної комiсiї цiнних паперiв та розмiщення на веб сайтi.</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15.</w:t>
            </w:r>
            <w:r w:rsidRPr="00707CE2">
              <w:rPr>
                <w:rFonts w:ascii="Times New Roman CYR" w:eastAsiaTheme="minorEastAsia" w:hAnsi="Times New Roman CYR" w:cs="Times New Roman CYR"/>
                <w:sz w:val="24"/>
                <w:szCs w:val="24"/>
              </w:rPr>
              <w:t>06.2022р - на засiданнi Наглядової ради приймалось рiшення про надання права першого пiдпису заступнику директора на фiнансових та банкiвських документах .</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25.07.2022р - на засiданнi Наглядової ради затверджено Звiт  директора  по  результатах  фiнансово -</w:t>
            </w:r>
            <w:r w:rsidRPr="00707CE2">
              <w:rPr>
                <w:rFonts w:ascii="Times New Roman CYR" w:eastAsiaTheme="minorEastAsia" w:hAnsi="Times New Roman CYR" w:cs="Times New Roman CYR"/>
                <w:sz w:val="24"/>
                <w:szCs w:val="24"/>
              </w:rPr>
              <w:t xml:space="preserve"> господарської  дiяльностi  Товариства  за  II квартал  2022 року</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11.10.2022р - на засiданнi Наглядової ради  приймалось рiшення про недоцiльнiсть скликання загальних  зборiв  у 2022роцi.</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25.10.2022р - на засiданнi Наглядової ради затверджено Звiт  дирек</w:t>
            </w:r>
            <w:r w:rsidRPr="00707CE2">
              <w:rPr>
                <w:rFonts w:ascii="Times New Roman CYR" w:eastAsiaTheme="minorEastAsia" w:hAnsi="Times New Roman CYR" w:cs="Times New Roman CYR"/>
                <w:sz w:val="24"/>
                <w:szCs w:val="24"/>
              </w:rPr>
              <w:t>тора  по  результатах  фiнансово - господарської  дiяльностi  Товариства  за III квартал  2022 року</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30.12.2022р - на засiданнi Наглядової ради затверджено штатний розпис. </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Комітети в складі наглядової ради </w:t>
      </w:r>
      <w:r>
        <w:rPr>
          <w:rFonts w:ascii="Times New Roman CYR" w:hAnsi="Times New Roman CYR" w:cs="Times New Roman CYR"/>
          <w:sz w:val="24"/>
          <w:szCs w:val="24"/>
        </w:rPr>
        <w:t>(за наявності)</w:t>
      </w:r>
      <w:r>
        <w:rPr>
          <w:rFonts w:ascii="Times New Roman CYR" w:hAnsi="Times New Roman CYR" w:cs="Times New Roman CYR"/>
          <w:b/>
          <w:bCs/>
          <w:sz w:val="24"/>
          <w:szCs w:val="24"/>
        </w:rPr>
        <w:t>?</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2000"/>
        <w:gridCol w:w="2000"/>
        <w:gridCol w:w="3000"/>
      </w:tblGrid>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3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Персональний склад комітетів</w:t>
            </w:r>
          </w:p>
        </w:tc>
      </w:tr>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 питань аудиту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 питань призначень</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 винагород</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c>
          <w:tcPr>
            <w:tcW w:w="3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Інше (зазначити)</w:t>
            </w:r>
          </w:p>
        </w:tc>
        <w:tc>
          <w:tcPr>
            <w:tcW w:w="4000" w:type="dxa"/>
            <w:gridSpan w:val="2"/>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c>
          <w:tcPr>
            <w:tcW w:w="3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b/>
                <w:bCs/>
                <w:sz w:val="24"/>
                <w:szCs w:val="24"/>
              </w:rPr>
              <w:t>Чи проведені засідання комітетів наглядової ради, загальний опис прийнятих на них рішень</w:t>
            </w:r>
          </w:p>
        </w:tc>
        <w:tc>
          <w:tcPr>
            <w:tcW w:w="7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b/>
                <w:bCs/>
                <w:sz w:val="24"/>
                <w:szCs w:val="24"/>
              </w:rPr>
              <w:t>У разі проведення оцінки роботи комітетів зазначається інформація щодо їх компетентності та ефективності</w:t>
            </w:r>
          </w:p>
        </w:tc>
        <w:tc>
          <w:tcPr>
            <w:tcW w:w="7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Інформація про діяльність наглядової ради та оцінка її роботи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b/>
                <w:bCs/>
                <w:sz w:val="24"/>
                <w:szCs w:val="24"/>
              </w:rPr>
              <w:t>Оцінка роботи наглядової ради</w:t>
            </w:r>
          </w:p>
        </w:tc>
        <w:tc>
          <w:tcPr>
            <w:tcW w:w="7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Згiдно пiдпункту 4 пункту 3 глави 4 роздiлу III Положенн</w:t>
            </w:r>
            <w:r w:rsidRPr="00707CE2">
              <w:rPr>
                <w:rFonts w:ascii="Times New Roman CYR" w:eastAsiaTheme="minorEastAsia" w:hAnsi="Times New Roman CYR" w:cs="Times New Roman CYR"/>
                <w:sz w:val="24"/>
                <w:szCs w:val="24"/>
              </w:rPr>
              <w:t xml:space="preserve">я про розкриття iнформацiї емiтентами цiнних паперiв, затв. рiшенням НКЦПФР №2826 вiд 03.12.2013 р., iз змiнами та доповненнями, </w:t>
            </w:r>
            <w:r w:rsidRPr="00707CE2">
              <w:rPr>
                <w:rFonts w:ascii="Times New Roman CYR" w:eastAsiaTheme="minorEastAsia" w:hAnsi="Times New Roman CYR" w:cs="Times New Roman CYR"/>
                <w:sz w:val="24"/>
                <w:szCs w:val="24"/>
              </w:rPr>
              <w:lastRenderedPageBreak/>
              <w:t>Наглядова рада Товариства не зобов'язана готувати iнформацiю про свою дiяльнiсть, у тому числi зазначати процедури, що застосов</w:t>
            </w:r>
            <w:r w:rsidRPr="00707CE2">
              <w:rPr>
                <w:rFonts w:ascii="Times New Roman CYR" w:eastAsiaTheme="minorEastAsia" w:hAnsi="Times New Roman CYR" w:cs="Times New Roman CYR"/>
                <w:sz w:val="24"/>
                <w:szCs w:val="24"/>
              </w:rPr>
              <w:t>уються при прийняттi нею рiшень, включаючи зазначення того, як дiяльнiсть наглядової ради зумовила змiни у фiнансово-господарськiй дiяльностi Товариства.</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Які з вимог до членів наглядової ради викладені у внутрішніх документах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w:t>
            </w:r>
            <w:r w:rsidRPr="00707CE2">
              <w:rPr>
                <w:rFonts w:ascii="Times New Roman CYR" w:eastAsiaTheme="minorEastAsia" w:hAnsi="Times New Roman CYR" w:cs="Times New Roman CYR"/>
                <w:sz w:val="24"/>
                <w:szCs w:val="24"/>
              </w:rPr>
              <w:t>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Галузеві знання і досвід роботи в галузі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Знання у сфері фінансів і менеджменту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Особисті якості (чесність, відповідальність)</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Відсутність конфлікту інтересів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Граничний вік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Відсутні будь-які вимоги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Інше (зазначити)</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Коли останній раз обирався новий член наглядової ради, як він ознайомився зі своїми правами та обов'язками?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Новий член наглядової ради самостійно ознайомився зі змістом внутрішніх документів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Було проведено засідання наглядової ради, на якому нового члена наглядової ради ознайомили з його правами та обов'язками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Для нового члена наглядової ради було організовано спеціальне навчання (з корпоративного управління або фінансового менеджменту)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Усіх членів наглядової ради було переобрано на повторний строк або не було обрано нового члена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Інше (зазначити)</w:t>
            </w:r>
          </w:p>
        </w:tc>
        <w:tc>
          <w:tcPr>
            <w:tcW w:w="7000" w:type="dxa"/>
            <w:gridSpan w:val="3"/>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визначається розмір винагороди членів наглядової ради?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Винагорода є фіксованою сумою</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Винагорода є відсотком від чистого прибутку або збільшення ринкової вартості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Винагорода виплачується у вигляді цінних паперів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Члени наглядової ради не отримують винагороди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Інше (запишіть)</w:t>
            </w:r>
          </w:p>
        </w:tc>
        <w:tc>
          <w:tcPr>
            <w:tcW w:w="7000" w:type="dxa"/>
            <w:gridSpan w:val="3"/>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Склад виконавчого органу</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4"/>
                <w:szCs w:val="24"/>
              </w:rPr>
            </w:pPr>
            <w:r w:rsidRPr="00707CE2">
              <w:rPr>
                <w:rFonts w:ascii="Times New Roman CYR" w:eastAsiaTheme="minorEastAsia" w:hAnsi="Times New Roman CYR" w:cs="Times New Roman CYR"/>
                <w:b/>
                <w:bCs/>
                <w:sz w:val="24"/>
                <w:szCs w:val="24"/>
              </w:rPr>
              <w:t>Персональний склад виконавчого органу</w:t>
            </w:r>
          </w:p>
        </w:tc>
        <w:tc>
          <w:tcPr>
            <w:tcW w:w="7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b/>
                <w:bCs/>
                <w:sz w:val="24"/>
                <w:szCs w:val="24"/>
              </w:rPr>
              <w:t>Функціональні обов'язки члена виконавчого органу</w:t>
            </w:r>
          </w:p>
        </w:tc>
      </w:tr>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Директор - Войтанiк Валерiй Олексiйович</w:t>
            </w:r>
          </w:p>
        </w:tc>
        <w:tc>
          <w:tcPr>
            <w:tcW w:w="7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затвердження поточних планiв дiяльностi Товариства та заходiв для їх виконання;</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 розробка та затвердження штатного розкладу та фонду оплати </w:t>
            </w:r>
            <w:r w:rsidRPr="00707CE2">
              <w:rPr>
                <w:rFonts w:ascii="Times New Roman CYR" w:eastAsiaTheme="minorEastAsia" w:hAnsi="Times New Roman CYR" w:cs="Times New Roman CYR"/>
                <w:sz w:val="24"/>
                <w:szCs w:val="24"/>
              </w:rPr>
              <w:lastRenderedPageBreak/>
              <w:t>працi Товариства (за виключенням членiв наглядової ради та директора);</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затвердження правил внутрiшнього трудового розпорядку та iнших внутрiшнiх документiв Товариства;</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вiдкриття рахункiв в ба</w:t>
            </w:r>
            <w:r w:rsidRPr="00707CE2">
              <w:rPr>
                <w:rFonts w:ascii="Times New Roman CYR" w:eastAsiaTheme="minorEastAsia" w:hAnsi="Times New Roman CYR" w:cs="Times New Roman CYR"/>
                <w:sz w:val="24"/>
                <w:szCs w:val="24"/>
              </w:rPr>
              <w:t>нках, розпорядження коштами Товариства, укладання договорiв.;</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органiзацiя ведення бухгалтерського облiку та звiтностi Товариства;</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прийняття рiшень про проведення перевiрки фiнансово-господарської дiяльностi Товариства;</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вжиття заходiв щодо забезпеченн</w:t>
            </w:r>
            <w:r w:rsidRPr="00707CE2">
              <w:rPr>
                <w:rFonts w:ascii="Times New Roman CYR" w:eastAsiaTheme="minorEastAsia" w:hAnsi="Times New Roman CYR" w:cs="Times New Roman CYR"/>
                <w:sz w:val="24"/>
                <w:szCs w:val="24"/>
              </w:rPr>
              <w:t>я захисту iнформацiї, що становить комерцiйну таємницю;</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визначення органiзацiйної структури Товариства;</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прийняття рiшень з iнших питань, пов'язаних з управлiнням поточною дiяльнiстю Товариства.</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xml:space="preserve">- здiйснення дiй  вiд  iменi  Товариства  вiдповiдно  до  </w:t>
            </w:r>
            <w:r w:rsidRPr="00707CE2">
              <w:rPr>
                <w:rFonts w:ascii="Times New Roman CYR" w:eastAsiaTheme="minorEastAsia" w:hAnsi="Times New Roman CYR" w:cs="Times New Roman CYR"/>
                <w:sz w:val="24"/>
                <w:szCs w:val="24"/>
              </w:rPr>
              <w:t>статуту,  в  тому  числi   представлення i захист його iнтересiв в органiзацiях державної i виконавчої влади, судах, представницьких органах,  а також в вiтчизняних та iноземних пiдприємствах, установах, органiзацiях незалежно вiд форм власностi,  вчинення</w:t>
            </w:r>
            <w:r w:rsidRPr="00707CE2">
              <w:rPr>
                <w:rFonts w:ascii="Times New Roman CYR" w:eastAsiaTheme="minorEastAsia" w:hAnsi="Times New Roman CYR" w:cs="Times New Roman CYR"/>
                <w:sz w:val="24"/>
                <w:szCs w:val="24"/>
              </w:rPr>
              <w:t xml:space="preserve">  правочинiв  вiд  iменi  Товариства, видача наказiв та  розпоряджень, обов'язкових для виконання всiма працiвниками Товариства;</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здiйснення пiдбору, найму та звiльнення персоналу (працiвникiв);</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пiдписання колективного договору;</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прийняття рiшень про в</w:t>
            </w:r>
            <w:r w:rsidRPr="00707CE2">
              <w:rPr>
                <w:rFonts w:ascii="Times New Roman CYR" w:eastAsiaTheme="minorEastAsia" w:hAnsi="Times New Roman CYR" w:cs="Times New Roman CYR"/>
                <w:sz w:val="24"/>
                <w:szCs w:val="24"/>
              </w:rPr>
              <w:t xml:space="preserve">чинення  правочинiв, якщо ринкова вартiсть майна або послуг,  що є його предметом,  становить не вище 10 вiдсоткiв  вартостi  активiв  за  даними  останньої рiчної фiнансової   звiтностi   Товариства; </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вирiшення питань з надання примiщень в оренду та iнш</w:t>
            </w:r>
            <w:r w:rsidRPr="00707CE2">
              <w:rPr>
                <w:rFonts w:ascii="Times New Roman CYR" w:eastAsiaTheme="minorEastAsia" w:hAnsi="Times New Roman CYR" w:cs="Times New Roman CYR"/>
                <w:sz w:val="24"/>
                <w:szCs w:val="24"/>
              </w:rPr>
              <w:t>их господарських питань.</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вирiшення iнших питань, вiднесених до його компетенцiї статутом, трудовим договором (контрактом) та внутрiшнiми документами Товариства.</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 В межах своєї компетенцiї видає накази та розпорядження, дає вказiвки, якi є обов'язковими до виконання всiма пiдроздiлами та штатними працiвниками Товариства.</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Функцiональнi обов'язки директора Товариства, визначенi Статутом, трудовим договором (контракт</w:t>
            </w:r>
            <w:r w:rsidRPr="00707CE2">
              <w:rPr>
                <w:rFonts w:ascii="Times New Roman CYR" w:eastAsiaTheme="minorEastAsia" w:hAnsi="Times New Roman CYR" w:cs="Times New Roman CYR"/>
                <w:sz w:val="24"/>
                <w:szCs w:val="24"/>
              </w:rPr>
              <w:t>ом) є повноваженнями, якi вiн вправi здiйснювати вiд iменi Товариства без доручення.</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b/>
                <w:bCs/>
                <w:sz w:val="24"/>
                <w:szCs w:val="24"/>
              </w:rPr>
              <w:t xml:space="preserve">Чи проведені засідання виконавчого органу: загальний опис прийнятих на них рішень; інформація про результати роботи виконавчого органу; визначення, як </w:t>
            </w:r>
            <w:r w:rsidRPr="00707CE2">
              <w:rPr>
                <w:rFonts w:ascii="Times New Roman CYR" w:eastAsiaTheme="minorEastAsia" w:hAnsi="Times New Roman CYR" w:cs="Times New Roman CYR"/>
                <w:b/>
                <w:bCs/>
                <w:sz w:val="24"/>
                <w:szCs w:val="24"/>
              </w:rPr>
              <w:lastRenderedPageBreak/>
              <w:t>діяльність викона</w:t>
            </w:r>
            <w:r w:rsidRPr="00707CE2">
              <w:rPr>
                <w:rFonts w:ascii="Times New Roman CYR" w:eastAsiaTheme="minorEastAsia" w:hAnsi="Times New Roman CYR" w:cs="Times New Roman CYR"/>
                <w:b/>
                <w:bCs/>
                <w:sz w:val="24"/>
                <w:szCs w:val="24"/>
              </w:rPr>
              <w:t>вчого органу зумовила зміни у фінансово-господарській діяльності товариства</w:t>
            </w:r>
          </w:p>
        </w:tc>
        <w:tc>
          <w:tcPr>
            <w:tcW w:w="7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lastRenderedPageBreak/>
              <w:t xml:space="preserve">Директор Товариства є одноосiбним виконавчим органом товариства, засiдань в його дiяльностi не передбачено. </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У 2022 роцi Директором Товариства видавалися накази, що стосувалися гос</w:t>
            </w:r>
            <w:r w:rsidRPr="00707CE2">
              <w:rPr>
                <w:rFonts w:ascii="Times New Roman CYR" w:eastAsiaTheme="minorEastAsia" w:hAnsi="Times New Roman CYR" w:cs="Times New Roman CYR"/>
                <w:sz w:val="24"/>
                <w:szCs w:val="24"/>
              </w:rPr>
              <w:t>подарської дiяльностi товариства, а саме: щодо виплат додаткових заробiтних плат працiвникам Товариства,  накази з кадрових питань (затвердження графiку вiдпусток, про надання вiдпусток працiвникам, звiльнення та прийом на роботу,  та iншi), затвердження ш</w:t>
            </w:r>
            <w:r w:rsidRPr="00707CE2">
              <w:rPr>
                <w:rFonts w:ascii="Times New Roman CYR" w:eastAsiaTheme="minorEastAsia" w:hAnsi="Times New Roman CYR" w:cs="Times New Roman CYR"/>
                <w:sz w:val="24"/>
                <w:szCs w:val="24"/>
              </w:rPr>
              <w:t xml:space="preserve">татного розпису, про вiдкриття </w:t>
            </w:r>
            <w:r w:rsidRPr="00707CE2">
              <w:rPr>
                <w:rFonts w:ascii="Times New Roman CYR" w:eastAsiaTheme="minorEastAsia" w:hAnsi="Times New Roman CYR" w:cs="Times New Roman CYR"/>
                <w:sz w:val="24"/>
                <w:szCs w:val="24"/>
              </w:rPr>
              <w:lastRenderedPageBreak/>
              <w:t>примiщення складу i призначення комiсiї , про огляд складських примiщень усiх орендарiв для виявлення зберiгання заборонених речовинта iн.</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Згiдно пiдпункту 4 пункту 3 глави 4 роздiлу III Положення про розкриття iнформацiї емi</w:t>
            </w:r>
            <w:r w:rsidRPr="00707CE2">
              <w:rPr>
                <w:rFonts w:ascii="Times New Roman CYR" w:eastAsiaTheme="minorEastAsia" w:hAnsi="Times New Roman CYR" w:cs="Times New Roman CYR"/>
                <w:sz w:val="24"/>
                <w:szCs w:val="24"/>
              </w:rPr>
              <w:t>тентами цiнних паперiв, затв. рiшенням НКЦПФР №2826 вiд 03.12.2013 р., iз змiнами та доповненнями, виконавчий орган Товариства не зобов'язаний готувати iнформацiю про свою дiяльнiсть, у тому числi надавати iнформацiю про результати роботи виконавчого орган</w:t>
            </w:r>
            <w:r w:rsidRPr="00707CE2">
              <w:rPr>
                <w:rFonts w:ascii="Times New Roman CYR" w:eastAsiaTheme="minorEastAsia" w:hAnsi="Times New Roman CYR" w:cs="Times New Roman CYR"/>
                <w:sz w:val="24"/>
                <w:szCs w:val="24"/>
              </w:rPr>
              <w:t xml:space="preserve">у та аналiз дiяльностi виконавчого органу, включаючи зазначення того, як дiяльнiсть виконавчого органу зумовила змiни у фiнансово-господарськiй дiяльностi Товариства. </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7000"/>
      </w:tblGrid>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b/>
                <w:bCs/>
                <w:sz w:val="24"/>
                <w:szCs w:val="24"/>
              </w:rPr>
              <w:t>Оцінка роботи виконавчого органу</w:t>
            </w:r>
          </w:p>
        </w:tc>
        <w:tc>
          <w:tcPr>
            <w:tcW w:w="7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Згiдно пiдпункту 4 пункту 3 глави 4 роздiлу III Поло</w:t>
            </w:r>
            <w:r w:rsidRPr="00707CE2">
              <w:rPr>
                <w:rFonts w:ascii="Times New Roman CYR" w:eastAsiaTheme="minorEastAsia" w:hAnsi="Times New Roman CYR" w:cs="Times New Roman CYR"/>
                <w:sz w:val="24"/>
                <w:szCs w:val="24"/>
              </w:rPr>
              <w:t xml:space="preserve">ження про розкриття iнформацiї емiтентами цiнних паперiв, затв. рiшенням НКЦПФР №2826 вiд 03.12.2013 р., iз змiнами та доповненнями, виконавчий орган Товариства не зобов'язаний готувати iнформацiю про свою дiяльнiсть, у тому числi здiйснювати оцiнку своєї </w:t>
            </w:r>
            <w:r w:rsidRPr="00707CE2">
              <w:rPr>
                <w:rFonts w:ascii="Times New Roman CYR" w:eastAsiaTheme="minorEastAsia" w:hAnsi="Times New Roman CYR" w:cs="Times New Roman CYR"/>
                <w:sz w:val="24"/>
                <w:szCs w:val="24"/>
              </w:rPr>
              <w:t>дiяльностi.</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5) опис основних характеристик систем внутрішнього контролю і управління ризиками емітента </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Система внутрiшнього контролю i управлiння ризиками визначає всi внутрiшнi правила та процедури контролю, запровадженi керiвництвом Товариства для досягнення поставленої мети - забезпечення (в межах можливого) стабiльного i ефективного функцiонування Товар</w:t>
      </w:r>
      <w:r>
        <w:rPr>
          <w:rFonts w:ascii="Times New Roman CYR" w:hAnsi="Times New Roman CYR" w:cs="Times New Roman CYR"/>
          <w:sz w:val="24"/>
          <w:szCs w:val="24"/>
        </w:rPr>
        <w:t xml:space="preserve">иства, дотримання внутрiшньогосподарської полiтики, збереження та рацiонального використання активiв Товариства, запобiгання та викриття фальсифiкацiй, помилок точнiсть i повнота бухгалтерських записiв, своєчасна пiдготовка надiйної фiнансової iнформацiї. </w:t>
      </w:r>
      <w:r>
        <w:rPr>
          <w:rFonts w:ascii="Times New Roman CYR" w:hAnsi="Times New Roman CYR" w:cs="Times New Roman CYR"/>
          <w:sz w:val="24"/>
          <w:szCs w:val="24"/>
        </w:rPr>
        <w:t>Особами вiдповiдальними за ведення бухгалтерського облiку Товариства є директор та  головний бухгалтер Товариства. Окремого Положення про "Системи внутрiшнього контролю i управлiння ризиками емiтента" в Товариствi немає, оскiльки обов'язкова наявнiсть не п</w:t>
      </w:r>
      <w:r>
        <w:rPr>
          <w:rFonts w:ascii="Times New Roman CYR" w:hAnsi="Times New Roman CYR" w:cs="Times New Roman CYR"/>
          <w:sz w:val="24"/>
          <w:szCs w:val="24"/>
        </w:rPr>
        <w:t>ередбачена чинним законодавством. Управлiння ризиками Товариства здiйснюється керiвництвом Товариства, менеджерами та iншими спiвробiтниками. Управлiння ризиками починається з розробцi стратегiї i зачiпає всю дiяльнiсть Товариства. Даний процес спрямований</w:t>
      </w:r>
      <w:r>
        <w:rPr>
          <w:rFonts w:ascii="Times New Roman CYR" w:hAnsi="Times New Roman CYR" w:cs="Times New Roman CYR"/>
          <w:sz w:val="24"/>
          <w:szCs w:val="24"/>
        </w:rPr>
        <w:t xml:space="preserve"> на визначення подiй, якi можуть впливати на Товариство, i управлiння пов'язаним з цими подiями ризиком. Управлiння ризиками Товариства являє собою безперервний процес, що охоплює Товариство; здiйснюється спiвробiтниками на всiх рiвнях; використовується пр</w:t>
      </w:r>
      <w:r>
        <w:rPr>
          <w:rFonts w:ascii="Times New Roman CYR" w:hAnsi="Times New Roman CYR" w:cs="Times New Roman CYR"/>
          <w:sz w:val="24"/>
          <w:szCs w:val="24"/>
        </w:rPr>
        <w:t>и розробцi та формуваннi стратегiї; нацiлене на визначення подiй, якi можуть впливати на Товариство та управлiння ризиками таким чином, щоб вони не перевищували готовностi Товариства йти на ризик; дає керiвництву розумну гарантiю досягнення цiлей. Серед сп</w:t>
      </w:r>
      <w:r>
        <w:rPr>
          <w:rFonts w:ascii="Times New Roman CYR" w:hAnsi="Times New Roman CYR" w:cs="Times New Roman CYR"/>
          <w:sz w:val="24"/>
          <w:szCs w:val="24"/>
        </w:rPr>
        <w:t>особiв усунення ризикiв можна вiдмитити наступне: - уникнення ризику - ухилення вiд заходiв, пов'язаних з ризиком; - утримання ризику - залишення ризику за iнвестором, тобто на його вiдповiдальнiсть; - зниження ступеня ризику - зменшення iмовiрностi та обс</w:t>
      </w:r>
      <w:r>
        <w:rPr>
          <w:rFonts w:ascii="Times New Roman CYR" w:hAnsi="Times New Roman CYR" w:cs="Times New Roman CYR"/>
          <w:sz w:val="24"/>
          <w:szCs w:val="24"/>
        </w:rPr>
        <w:t>ягу втрат. В Товариствi запроваджуються деякi заходи зниження ризику, а саме: диверсифiкацiя, що дозволяє уникнути частини ризику при розподiлi капiталу мiж рiзними видами дiяльностi; здобування додаткової iнформацiї, що дозволяє зробити чiткий прогноз i з</w:t>
      </w:r>
      <w:r>
        <w:rPr>
          <w:rFonts w:ascii="Times New Roman CYR" w:hAnsi="Times New Roman CYR" w:cs="Times New Roman CYR"/>
          <w:sz w:val="24"/>
          <w:szCs w:val="24"/>
        </w:rPr>
        <w:t xml:space="preserve">низити ризик; страхування, що дає змогу розподiлити збитки мiж усiма учасниками страхування (страхування виконує чотири функцiї: ризикову, запобiжну, заощаджуючу, контролюючу) i iншi заходи.   </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lastRenderedPageBreak/>
        <w:t>Чи створено у вашому акціонерному товаристві ревізійну комісі</w:t>
      </w:r>
      <w:r>
        <w:rPr>
          <w:rFonts w:ascii="Times New Roman CYR" w:hAnsi="Times New Roman CYR" w:cs="Times New Roman CYR"/>
          <w:b/>
          <w:bCs/>
          <w:sz w:val="24"/>
          <w:szCs w:val="24"/>
        </w:rPr>
        <w:t xml:space="preserve">ю або введено посаду ревізора? (так, створено ревізійну комісію / так, введено посаду ревізора / ні)  </w:t>
      </w:r>
      <w:r>
        <w:rPr>
          <w:rFonts w:ascii="Times New Roman CYR" w:hAnsi="Times New Roman CYR" w:cs="Times New Roman CYR"/>
          <w:sz w:val="24"/>
          <w:szCs w:val="24"/>
          <w:u w:val="single"/>
        </w:rPr>
        <w:t>ні</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Якщо в товаристві створено ревізійну комісію: </w:t>
      </w: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 xml:space="preserve">Кількість членів ревізійної комісії </w:t>
      </w:r>
      <w:r>
        <w:rPr>
          <w:rFonts w:ascii="Times New Roman CYR" w:hAnsi="Times New Roman CYR" w:cs="Times New Roman CYR"/>
          <w:sz w:val="24"/>
          <w:szCs w:val="24"/>
          <w:u w:val="single"/>
        </w:rPr>
        <w:t>0</w:t>
      </w:r>
      <w:r>
        <w:rPr>
          <w:rFonts w:ascii="Times New Roman CYR" w:hAnsi="Times New Roman CYR" w:cs="Times New Roman CYR"/>
          <w:b/>
          <w:bCs/>
          <w:sz w:val="24"/>
          <w:szCs w:val="24"/>
        </w:rPr>
        <w:t xml:space="preserve"> осіб.</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Скільки разів на рік у середньому відбувалися засідання реві</w:t>
      </w:r>
      <w:r>
        <w:rPr>
          <w:rFonts w:ascii="Times New Roman CYR" w:hAnsi="Times New Roman CYR" w:cs="Times New Roman CYR"/>
          <w:b/>
          <w:bCs/>
          <w:sz w:val="24"/>
          <w:szCs w:val="24"/>
        </w:rPr>
        <w:t xml:space="preserve">зійної комісії протягом останніх трьох років?  </w:t>
      </w:r>
      <w:r>
        <w:rPr>
          <w:rFonts w:ascii="Times New Roman CYR" w:hAnsi="Times New Roman CYR" w:cs="Times New Roman CYR"/>
          <w:sz w:val="24"/>
          <w:szCs w:val="24"/>
          <w:u w:val="single"/>
        </w:rPr>
        <w:t>0</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Відповідно до статуту вашого акціонерного товариства, до компетенції якого з органів (загальних зборів акціонерів, наглядової ради чи виконавчого органу) належить вирішення кожного з цих питань?</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4884"/>
        <w:gridCol w:w="1057"/>
        <w:gridCol w:w="1232"/>
        <w:gridCol w:w="1155"/>
        <w:gridCol w:w="1672"/>
      </w:tblGrid>
      <w:tr w:rsidR="00000000" w:rsidRPr="00707CE2">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sz w:val="24"/>
                <w:szCs w:val="24"/>
              </w:rPr>
            </w:pPr>
          </w:p>
        </w:tc>
        <w:tc>
          <w:tcPr>
            <w:tcW w:w="1057"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Загальні з</w:t>
            </w:r>
            <w:r w:rsidRPr="00707CE2">
              <w:rPr>
                <w:rFonts w:ascii="Times New Roman CYR" w:eastAsiaTheme="minorEastAsia" w:hAnsi="Times New Roman CYR" w:cs="Times New Roman CYR"/>
                <w:sz w:val="24"/>
                <w:szCs w:val="24"/>
              </w:rPr>
              <w:t>бори акціонерів</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Наглядова рада</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Виконавчий орган</w:t>
            </w:r>
          </w:p>
        </w:tc>
        <w:tc>
          <w:tcPr>
            <w:tcW w:w="167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Не належить до компетенції жодного органу</w:t>
            </w:r>
          </w:p>
        </w:tc>
      </w:tr>
      <w:tr w:rsidR="00000000" w:rsidRPr="00707CE2">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Визначення основних напрямів діяльності (стратегії)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Затвердження планів діяльності (бізнес-планів)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Затвердження річного фінансового звіту, або балансу, або бюджету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Обрання та припинення повноважень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Обрання та припинення повноважень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Обрання та припинення повноважень голови та членів ревізійної комісії</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Визначення розміру винагороди для голови та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Визначення розміру винагороди для голови та членів наглядової ради</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Прийняття рішення про притягнення до майнової відповідальності членів виконавчого органу</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Прийняття рішення про додаткову емісію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Прийняття рішення про викуп, реалізацію та розміщення власних акцій</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Затвердження зовнішнього аудитора</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4884"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Затвердження договорів, щодо яких існує конфлікт інтересів</w:t>
            </w:r>
          </w:p>
        </w:tc>
        <w:tc>
          <w:tcPr>
            <w:tcW w:w="1057"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232"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155"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67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 xml:space="preserve">Чи містить статут акціонерного товариства положення, яке обмежує повноваження виконавчого органу приймати рішення про укладення договорів, враховуючи їх суму, від імені акціонерного товариства? (так/ні)  </w:t>
      </w:r>
      <w:r>
        <w:rPr>
          <w:rFonts w:ascii="Times New Roman CYR" w:hAnsi="Times New Roman CYR" w:cs="Times New Roman CYR"/>
          <w:sz w:val="24"/>
          <w:szCs w:val="24"/>
          <w:u w:val="single"/>
        </w:rPr>
        <w:t>так</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t>Чи містить статут або внутрішні документи акціо</w:t>
      </w:r>
      <w:r>
        <w:rPr>
          <w:rFonts w:ascii="Times New Roman CYR" w:hAnsi="Times New Roman CYR" w:cs="Times New Roman CYR"/>
          <w:b/>
          <w:bCs/>
          <w:sz w:val="24"/>
          <w:szCs w:val="24"/>
        </w:rPr>
        <w:t xml:space="preserve">нерного товариства положення про конфлікт інтересів, тобто суперечність між особистими інтересами посадової особи або пов'язаних з нею осіб та обов'язком діяти в інтересах акціонерного товариства?(так/ні)  </w:t>
      </w:r>
      <w:r>
        <w:rPr>
          <w:rFonts w:ascii="Times New Roman CYR" w:hAnsi="Times New Roman CYR" w:cs="Times New Roman CYR"/>
          <w:sz w:val="24"/>
          <w:szCs w:val="24"/>
          <w:u w:val="single"/>
        </w:rPr>
        <w:t>ні</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Які документи існують у вашому акціонерному то</w:t>
      </w:r>
      <w:r>
        <w:rPr>
          <w:rFonts w:ascii="Times New Roman CYR" w:hAnsi="Times New Roman CYR" w:cs="Times New Roman CYR"/>
          <w:b/>
          <w:bCs/>
          <w:sz w:val="24"/>
          <w:szCs w:val="24"/>
        </w:rPr>
        <w:t>варистві?</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00"/>
        <w:gridCol w:w="4000"/>
        <w:gridCol w:w="1500"/>
        <w:gridCol w:w="1500"/>
      </w:tblGrid>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Положення про загальні збори акціонерів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Положення про наглядову раду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Положення про виконавчий орган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Положення про посадових осіб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Положення про ревізійну комісію (або ревізора)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Положення про порядок розподілу прибутку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3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Інше (запишіть)</w:t>
            </w:r>
          </w:p>
        </w:tc>
        <w:tc>
          <w:tcPr>
            <w:tcW w:w="7000" w:type="dxa"/>
            <w:gridSpan w:val="3"/>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 акціонери можуть отримати інформацію про діяльність вашого акціонерного товариства?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1500"/>
        <w:gridCol w:w="2000"/>
        <w:gridCol w:w="1500"/>
        <w:gridCol w:w="1000"/>
        <w:gridCol w:w="1500"/>
      </w:tblGrid>
      <w:tr w:rsidR="00000000" w:rsidRPr="00707CE2">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Інформація про діяльність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Інформація розповсюджується на загальних зборах</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Інформація оприлюднюється в загальнодоступній інформаційній базі даних Національної комісії з цінних паперів та фондового ринку про ринок цінних паперів або через особу, яка провадить діяльність з оприлюднення регульованої інформації від імені учасників фо</w:t>
            </w:r>
            <w:r w:rsidRPr="00707CE2">
              <w:rPr>
                <w:rFonts w:ascii="Times New Roman CYR" w:eastAsiaTheme="minorEastAsia" w:hAnsi="Times New Roman CYR" w:cs="Times New Roman CYR"/>
                <w:sz w:val="24"/>
                <w:szCs w:val="24"/>
              </w:rPr>
              <w:t>ндового ринку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Документи надаються для ознайомлення безпосередньо в акціонерному товаристві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Копії документів надаються на запит акціонера</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Інформація розміщується на власному веб-сайті акціонерного товариства</w:t>
            </w:r>
          </w:p>
        </w:tc>
      </w:tr>
      <w:tr w:rsidR="00000000" w:rsidRPr="00707CE2">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Фінансова звітність, результати діяльності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r>
      <w:tr w:rsidR="00000000" w:rsidRPr="00707CE2">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Інформація про акціонерів, які володіють 5 та більше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r>
      <w:tr w:rsidR="00000000" w:rsidRPr="00707CE2">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Інформація про склад органів управління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r>
      <w:tr w:rsidR="00000000" w:rsidRPr="00707CE2">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Протоколи загальних зборів акціонерів після їх проведення</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182"/>
        </w:trPr>
        <w:tc>
          <w:tcPr>
            <w:tcW w:w="25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Розмір винагороди посадових осіб акціонерного товариства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b/>
          <w:bCs/>
          <w:sz w:val="24"/>
          <w:szCs w:val="24"/>
        </w:rPr>
        <w:lastRenderedPageBreak/>
        <w:t xml:space="preserve">Чи готує акціонерне товариство фінансову звітність у відповідності до міжнародних стандартів фінансової звітності? (так/ні)  </w:t>
      </w:r>
      <w:r>
        <w:rPr>
          <w:rFonts w:ascii="Times New Roman CYR" w:hAnsi="Times New Roman CYR" w:cs="Times New Roman CYR"/>
          <w:sz w:val="24"/>
          <w:szCs w:val="24"/>
          <w:u w:val="single"/>
        </w:rPr>
        <w:t>ні</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Скільки разів проводилися аудиторські перевірки акціонерного товариства незалежним аудитором (аудиторською фірмою) протягом звітного періоду?</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7000"/>
        <w:gridCol w:w="1500"/>
        <w:gridCol w:w="1500"/>
      </w:tblGrid>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Не проводились взагалі</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Раз на рік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Частіше ніж раз на рік</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Який орган приймав рішення про затвердження незалежного аудитора (аудиторської фірми)?</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4500"/>
        <w:gridCol w:w="1500"/>
        <w:gridCol w:w="1500"/>
      </w:tblGrid>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Загальні збори акціонерів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Наглядова рада</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25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Інше (зазначити)</w:t>
            </w:r>
          </w:p>
        </w:tc>
        <w:tc>
          <w:tcPr>
            <w:tcW w:w="7500" w:type="dxa"/>
            <w:gridSpan w:val="3"/>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З ініціативи якого органу ревізійна комісія (ревізор) проводила (проводив) перевірку востаннє?</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2500"/>
        <w:gridCol w:w="4500"/>
        <w:gridCol w:w="1500"/>
        <w:gridCol w:w="1500"/>
      </w:tblGrid>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sz w:val="24"/>
                <w:szCs w:val="24"/>
              </w:rPr>
            </w:pP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Так</w:t>
            </w: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Ні</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 власної ініціативи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За дорученням загальних зборів</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За дорученням наглядової ради</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За зверненням виконавчого органу</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7000" w:type="dxa"/>
            <w:gridSpan w:val="2"/>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На вимогу акціонерів, які в сукупності володіють понад та більше 10 відсотками голосуючих акцій</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15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X</w:t>
            </w:r>
          </w:p>
        </w:tc>
      </w:tr>
      <w:tr w:rsidR="00000000" w:rsidRPr="00707CE2">
        <w:tblPrEx>
          <w:tblCellMar>
            <w:top w:w="0" w:type="dxa"/>
            <w:bottom w:w="0" w:type="dxa"/>
          </w:tblCellMar>
        </w:tblPrEx>
        <w:trPr>
          <w:trHeight w:val="200"/>
        </w:trPr>
        <w:tc>
          <w:tcPr>
            <w:tcW w:w="250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Інше (зазначити)</w:t>
            </w:r>
          </w:p>
        </w:tc>
        <w:tc>
          <w:tcPr>
            <w:tcW w:w="7500" w:type="dxa"/>
            <w:gridSpan w:val="3"/>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6) перелік осіб, які прямо або опосередковано є власниками значного пакета акцій емітента</w:t>
      </w: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892"/>
        <w:gridCol w:w="4000"/>
        <w:gridCol w:w="3000"/>
        <w:gridCol w:w="2000"/>
      </w:tblGrid>
      <w:tr w:rsidR="00000000" w:rsidRPr="00707CE2">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4"/>
                <w:szCs w:val="24"/>
              </w:rPr>
            </w:pPr>
            <w:r w:rsidRPr="00707CE2">
              <w:rPr>
                <w:rFonts w:ascii="Times New Roman CYR" w:eastAsiaTheme="minorEastAsia" w:hAnsi="Times New Roman CYR" w:cs="Times New Roman CYR"/>
                <w:b/>
                <w:bCs/>
                <w:sz w:val="24"/>
                <w:szCs w:val="24"/>
              </w:rPr>
              <w:t>№ з/п</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4"/>
                <w:szCs w:val="24"/>
              </w:rPr>
            </w:pPr>
            <w:r w:rsidRPr="00707CE2">
              <w:rPr>
                <w:rFonts w:ascii="Times New Roman CYR" w:eastAsiaTheme="minorEastAsia" w:hAnsi="Times New Roman CYR" w:cs="Times New Roman CYR"/>
                <w:b/>
                <w:bCs/>
                <w:sz w:val="24"/>
                <w:szCs w:val="24"/>
              </w:rPr>
              <w:t>Повне найменування юридичної особи - власника (власників) або прізвище, ім'я, по батькові (за наявності) фізичної особи - власника (власників) значного пакета акцій</w:t>
            </w:r>
          </w:p>
        </w:tc>
        <w:tc>
          <w:tcPr>
            <w:tcW w:w="3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4"/>
                <w:szCs w:val="24"/>
              </w:rPr>
            </w:pPr>
            <w:r w:rsidRPr="00707CE2">
              <w:rPr>
                <w:rFonts w:ascii="Times New Roman CYR" w:eastAsiaTheme="minorEastAsia" w:hAnsi="Times New Roman CYR" w:cs="Times New Roman CYR"/>
                <w:b/>
                <w:bCs/>
                <w:sz w:val="24"/>
                <w:szCs w:val="24"/>
              </w:rPr>
              <w:t>Ідентифікаційний код згідно з Єдиним державним реєстром юридичних осіб, фізичних осіб - під</w:t>
            </w:r>
            <w:r w:rsidRPr="00707CE2">
              <w:rPr>
                <w:rFonts w:ascii="Times New Roman CYR" w:eastAsiaTheme="minorEastAsia" w:hAnsi="Times New Roman CYR" w:cs="Times New Roman CYR"/>
                <w:b/>
                <w:bCs/>
                <w:sz w:val="24"/>
                <w:szCs w:val="24"/>
              </w:rPr>
              <w:t>приємців та громадських формувань (для юридичної особи - резидента), код/номер з торговельного, банківського чи судового реєстру, реєстраційного посвідчення місцевого органу влади іноземної держави про реєстрацію юридичної особи (для юридичної особи - нере</w:t>
            </w:r>
            <w:r w:rsidRPr="00707CE2">
              <w:rPr>
                <w:rFonts w:ascii="Times New Roman CYR" w:eastAsiaTheme="minorEastAsia" w:hAnsi="Times New Roman CYR" w:cs="Times New Roman CYR"/>
                <w:b/>
                <w:bCs/>
                <w:sz w:val="24"/>
                <w:szCs w:val="24"/>
              </w:rPr>
              <w:t>зидента)</w:t>
            </w:r>
          </w:p>
        </w:tc>
        <w:tc>
          <w:tcPr>
            <w:tcW w:w="2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4"/>
                <w:szCs w:val="24"/>
              </w:rPr>
            </w:pPr>
            <w:r w:rsidRPr="00707CE2">
              <w:rPr>
                <w:rFonts w:ascii="Times New Roman CYR" w:eastAsiaTheme="minorEastAsia" w:hAnsi="Times New Roman CYR" w:cs="Times New Roman CYR"/>
                <w:b/>
                <w:bCs/>
                <w:sz w:val="24"/>
                <w:szCs w:val="24"/>
              </w:rPr>
              <w:t>Розмір частки акціонера (власника) (у відсотках до статутного капіталу)</w:t>
            </w:r>
          </w:p>
        </w:tc>
      </w:tr>
      <w:tr w:rsidR="00000000" w:rsidRPr="00707CE2">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w:t>
            </w:r>
          </w:p>
        </w:tc>
        <w:tc>
          <w:tcPr>
            <w:tcW w:w="4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Войтанiк Валерiй Олексiйович</w:t>
            </w:r>
          </w:p>
        </w:tc>
        <w:tc>
          <w:tcPr>
            <w:tcW w:w="3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52,0349</w:t>
            </w:r>
          </w:p>
        </w:tc>
      </w:tr>
      <w:tr w:rsidR="00000000" w:rsidRPr="00707CE2">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lastRenderedPageBreak/>
              <w:t>2</w:t>
            </w:r>
          </w:p>
        </w:tc>
        <w:tc>
          <w:tcPr>
            <w:tcW w:w="4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Пухтель Євгенiя Петрiвна</w:t>
            </w:r>
          </w:p>
        </w:tc>
        <w:tc>
          <w:tcPr>
            <w:tcW w:w="3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10,436</w:t>
            </w:r>
          </w:p>
        </w:tc>
      </w:tr>
      <w:tr w:rsidR="00000000" w:rsidRPr="00707CE2">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w:t>
            </w:r>
          </w:p>
        </w:tc>
        <w:tc>
          <w:tcPr>
            <w:tcW w:w="4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Войтанiк Леонiд Валерiйович</w:t>
            </w:r>
          </w:p>
        </w:tc>
        <w:tc>
          <w:tcPr>
            <w:tcW w:w="3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12,1512</w:t>
            </w:r>
          </w:p>
        </w:tc>
      </w:tr>
      <w:tr w:rsidR="00000000" w:rsidRPr="00707CE2">
        <w:tblPrEx>
          <w:tblCellMar>
            <w:top w:w="0" w:type="dxa"/>
            <w:bottom w:w="0" w:type="dxa"/>
          </w:tblCellMar>
        </w:tblPrEx>
        <w:trPr>
          <w:trHeight w:val="200"/>
        </w:trPr>
        <w:tc>
          <w:tcPr>
            <w:tcW w:w="892"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4</w:t>
            </w:r>
          </w:p>
        </w:tc>
        <w:tc>
          <w:tcPr>
            <w:tcW w:w="4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Мельник Ганна Iванiвна</w:t>
            </w:r>
          </w:p>
        </w:tc>
        <w:tc>
          <w:tcPr>
            <w:tcW w:w="3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c>
          <w:tcPr>
            <w:tcW w:w="2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6,4244</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r>
        <w:rPr>
          <w:rFonts w:ascii="Times New Roman CYR" w:hAnsi="Times New Roman CYR" w:cs="Times New Roman CYR"/>
          <w:b/>
          <w:bCs/>
          <w:sz w:val="24"/>
          <w:szCs w:val="24"/>
        </w:rPr>
        <w:t>7) інформація про будь-які обмеження прав участі та голосування акціонерів (учасників) на загальних зборах емітента</w:t>
      </w:r>
    </w:p>
    <w:p w:rsidR="00000000" w:rsidRDefault="00707CE2">
      <w:pPr>
        <w:widowControl w:val="0"/>
        <w:autoSpaceDE w:val="0"/>
        <w:autoSpaceDN w:val="0"/>
        <w:adjustRightInd w:val="0"/>
        <w:spacing w:after="0" w:line="240" w:lineRule="auto"/>
        <w:rPr>
          <w:rFonts w:ascii="Times New Roman CYR" w:hAnsi="Times New Roman CYR" w:cs="Times New Roman CYR"/>
          <w:b/>
          <w:bCs/>
          <w:sz w:val="24"/>
          <w:szCs w:val="24"/>
        </w:rPr>
      </w:pPr>
    </w:p>
    <w:tbl>
      <w:tblPr>
        <w:tblW w:w="0" w:type="auto"/>
        <w:tblInd w:w="216" w:type="dxa"/>
        <w:tblBorders>
          <w:top w:val="single" w:sz="6" w:space="0" w:color="auto"/>
          <w:left w:val="single" w:sz="6" w:space="0" w:color="auto"/>
          <w:bottom w:val="single" w:sz="6" w:space="0" w:color="auto"/>
          <w:right w:val="single" w:sz="6" w:space="0" w:color="auto"/>
        </w:tblBorders>
        <w:tblLayout w:type="fixed"/>
        <w:tblLook w:val="0000"/>
      </w:tblPr>
      <w:tblGrid>
        <w:gridCol w:w="1892"/>
        <w:gridCol w:w="2000"/>
        <w:gridCol w:w="4000"/>
        <w:gridCol w:w="2000"/>
      </w:tblGrid>
      <w:tr w:rsidR="00000000" w:rsidRPr="00707CE2">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4"/>
                <w:szCs w:val="24"/>
              </w:rPr>
            </w:pPr>
            <w:r w:rsidRPr="00707CE2">
              <w:rPr>
                <w:rFonts w:ascii="Times New Roman CYR" w:eastAsiaTheme="minorEastAsia" w:hAnsi="Times New Roman CYR" w:cs="Times New Roman CYR"/>
                <w:b/>
                <w:bCs/>
                <w:sz w:val="24"/>
                <w:szCs w:val="24"/>
              </w:rPr>
              <w:t>Загальна кількість акцій</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4"/>
                <w:szCs w:val="24"/>
              </w:rPr>
            </w:pPr>
            <w:r w:rsidRPr="00707CE2">
              <w:rPr>
                <w:rFonts w:ascii="Times New Roman CYR" w:eastAsiaTheme="minorEastAsia" w:hAnsi="Times New Roman CYR" w:cs="Times New Roman CYR"/>
                <w:b/>
                <w:bCs/>
                <w:sz w:val="24"/>
                <w:szCs w:val="24"/>
              </w:rPr>
              <w:t>Кількість акцій з обмеженнями</w:t>
            </w:r>
          </w:p>
        </w:tc>
        <w:tc>
          <w:tcPr>
            <w:tcW w:w="4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4"/>
                <w:szCs w:val="24"/>
              </w:rPr>
            </w:pPr>
            <w:r w:rsidRPr="00707CE2">
              <w:rPr>
                <w:rFonts w:ascii="Times New Roman CYR" w:eastAsiaTheme="minorEastAsia" w:hAnsi="Times New Roman CYR" w:cs="Times New Roman CYR"/>
                <w:b/>
                <w:bCs/>
                <w:sz w:val="24"/>
                <w:szCs w:val="24"/>
              </w:rPr>
              <w:t>Підстава виникнення обмеження</w:t>
            </w:r>
          </w:p>
        </w:tc>
        <w:tc>
          <w:tcPr>
            <w:tcW w:w="2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4"/>
                <w:szCs w:val="24"/>
              </w:rPr>
            </w:pPr>
            <w:r w:rsidRPr="00707CE2">
              <w:rPr>
                <w:rFonts w:ascii="Times New Roman CYR" w:eastAsiaTheme="minorEastAsia" w:hAnsi="Times New Roman CYR" w:cs="Times New Roman CYR"/>
                <w:b/>
                <w:bCs/>
                <w:sz w:val="24"/>
                <w:szCs w:val="24"/>
              </w:rPr>
              <w:t>Дата виникнення обмеження</w:t>
            </w:r>
          </w:p>
        </w:tc>
      </w:tr>
      <w:tr w:rsidR="00000000" w:rsidRPr="00707CE2">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3 440</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279</w:t>
            </w:r>
          </w:p>
        </w:tc>
        <w:tc>
          <w:tcPr>
            <w:tcW w:w="4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Вiдповiдно до п. 10 роздiлу VI Закону України "Про депозитарну систему України", у разi якщо власник цiнних паперiв протягом одного року з дня набрання чинностi Законом України "Про депозитарну систему України" не уклав з обраною емiтентом депозитарною уст</w:t>
            </w:r>
            <w:r w:rsidRPr="00707CE2">
              <w:rPr>
                <w:rFonts w:ascii="Times New Roman CYR" w:eastAsiaTheme="minorEastAsia" w:hAnsi="Times New Roman CYR" w:cs="Times New Roman CYR"/>
                <w:sz w:val="24"/>
                <w:szCs w:val="24"/>
              </w:rPr>
              <w:t>ановою договору про обслуговування рахунка в цiнних паперах вiд власного iменi або не здiйснив переказ належних йому прав на цiннi папери на свiй рахунок у цiнних паперах, вiдкритий в iншiй депозитарнiй установi, цiннi папери такого власника (якi дають пра</w:t>
            </w:r>
            <w:r w:rsidRPr="00707CE2">
              <w:rPr>
                <w:rFonts w:ascii="Times New Roman CYR" w:eastAsiaTheme="minorEastAsia" w:hAnsi="Times New Roman CYR" w:cs="Times New Roman CYR"/>
                <w:sz w:val="24"/>
                <w:szCs w:val="24"/>
              </w:rPr>
              <w:t>во на участь в органах емiтента) не враховуються при визначеннi кворуму та при голосуваннi в органах емiтента.</w:t>
            </w:r>
          </w:p>
        </w:tc>
        <w:tc>
          <w:tcPr>
            <w:tcW w:w="2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12.10.2014</w:t>
            </w:r>
          </w:p>
        </w:tc>
      </w:tr>
      <w:tr w:rsidR="00000000" w:rsidRPr="00707CE2">
        <w:tblPrEx>
          <w:tblCellMar>
            <w:top w:w="0" w:type="dxa"/>
            <w:bottom w:w="0" w:type="dxa"/>
          </w:tblCellMar>
        </w:tblPrEx>
        <w:trPr>
          <w:trHeight w:val="200"/>
        </w:trPr>
        <w:tc>
          <w:tcPr>
            <w:tcW w:w="1892"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r w:rsidRPr="00707CE2">
              <w:rPr>
                <w:rFonts w:ascii="Times New Roman CYR" w:eastAsiaTheme="minorEastAsia" w:hAnsi="Times New Roman CYR" w:cs="Times New Roman CYR"/>
                <w:sz w:val="24"/>
                <w:szCs w:val="24"/>
              </w:rPr>
              <w:t>Опис</w:t>
            </w:r>
          </w:p>
        </w:tc>
        <w:tc>
          <w:tcPr>
            <w:tcW w:w="8000" w:type="dxa"/>
            <w:gridSpan w:val="3"/>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8) порядок призначення та звільнення посадових осіб емітента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Наглядова рада: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Обрання членiв наглядової ради виключна компетенцiя загальних зборiв Товариства.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Наглядова рада складається iз трьох  Членiв - фiзичних осiб.</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Персональний склад наглядової ради обирається загальними зборами термiном на 3 роки.  До складу  наглядової  ради </w:t>
      </w:r>
      <w:r>
        <w:rPr>
          <w:rFonts w:ascii="Times New Roman CYR" w:hAnsi="Times New Roman CYR" w:cs="Times New Roman CYR"/>
          <w:sz w:val="24"/>
          <w:szCs w:val="24"/>
        </w:rPr>
        <w:t xml:space="preserve"> обираються  представники  акцiонера (акцiонерiв),  якi  представляють  їх  iнтереси.</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Обрання членiв наглядової ради здiйснюється за методом членства у наглядовiй радi в залежностi вiд кiлькостi акцiй якими володiє акцiонер або  група  акцiонерiв. Представ</w:t>
      </w:r>
      <w:r>
        <w:rPr>
          <w:rFonts w:ascii="Times New Roman CYR" w:hAnsi="Times New Roman CYR" w:cs="Times New Roman CYR"/>
          <w:sz w:val="24"/>
          <w:szCs w:val="24"/>
        </w:rPr>
        <w:t>ництво членiв наглядової ради здiйснюється iз розрахунку:</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Один представник- акцiонер або  група акцiонерiв, який володiє пакетом iз 10 i бiльше вiдсоткiв акцiй;</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Два представника- акцiонера або  група  акцiонерiв, який володiє пакетом iз 50 i бiльше вiдсотк</w:t>
      </w:r>
      <w:r>
        <w:rPr>
          <w:rFonts w:ascii="Times New Roman CYR" w:hAnsi="Times New Roman CYR" w:cs="Times New Roman CYR"/>
          <w:sz w:val="24"/>
          <w:szCs w:val="24"/>
        </w:rPr>
        <w:t>iв акцiй.</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Повноваження  члена  наглядової  ради  дiйснi  з  моменту  його  обрання  загальними  зборами. Член  наглядової  ради  може  бути  замiнений  на  нових  членiв  акцiонером  або  групою  акцiонерiв  в  будь- який  час.  Дострокове  припинення  пов</w:t>
      </w:r>
      <w:r>
        <w:rPr>
          <w:rFonts w:ascii="Times New Roman CYR" w:hAnsi="Times New Roman CYR" w:cs="Times New Roman CYR"/>
          <w:sz w:val="24"/>
          <w:szCs w:val="24"/>
        </w:rPr>
        <w:t xml:space="preserve">новажень  члена  наглядової  ради  вступає  в  силу  з  моменту  замiни  новим  членом.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 У  разi  замiни  члена  наглядової  ради - представника акцiонера ( акцiонерiв)  повноваження  вiдкликаного  члена  наглядової  ради  припиняються,  а  новий член  на</w:t>
      </w:r>
      <w:r>
        <w:rPr>
          <w:rFonts w:ascii="Times New Roman CYR" w:hAnsi="Times New Roman CYR" w:cs="Times New Roman CYR"/>
          <w:sz w:val="24"/>
          <w:szCs w:val="24"/>
        </w:rPr>
        <w:t>глядової  ради  набуває  повноважень  з  моменту  отримання  акцiонерним  товариством  письмового  повiдомлення  вiд  акцiонера ( акцiонерiв),  представником  якого  є  вiдповiдний  член  наглядової  ради.</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Акцiонер  або  група  акцiонерiв,  якi  мають  пр</w:t>
      </w:r>
      <w:r>
        <w:rPr>
          <w:rFonts w:ascii="Times New Roman CYR" w:hAnsi="Times New Roman CYR" w:cs="Times New Roman CYR"/>
          <w:sz w:val="24"/>
          <w:szCs w:val="24"/>
        </w:rPr>
        <w:t>аво  на  замiну  членiв  наглядової  ради  надсилають  письмове  повiдомлення  до  дiючої  наглядової  ради  , яке  мiстить  iнформацiю  про  нового  члена  наглядової  ради, який  призначається  на  замiну  вiдкликаного ( прiзвище,iм."я, по  батьковi  ( н</w:t>
      </w:r>
      <w:r>
        <w:rPr>
          <w:rFonts w:ascii="Times New Roman CYR" w:hAnsi="Times New Roman CYR" w:cs="Times New Roman CYR"/>
          <w:sz w:val="24"/>
          <w:szCs w:val="24"/>
        </w:rPr>
        <w:t xml:space="preserve">айменування )  акцiонера ( акцiонерiв ),  розмiр   пакета  акцiй,  що  йому  належать  або  їм  сукупно  належить ).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Повiдомлення  акцiонерiв  про  замiну  членiв  наглядової  ради  здiйснюється  шляхом  розмiщення  акцiонерним  товариством  на  власному</w:t>
      </w:r>
      <w:r>
        <w:rPr>
          <w:rFonts w:ascii="Times New Roman CYR" w:hAnsi="Times New Roman CYR" w:cs="Times New Roman CYR"/>
          <w:sz w:val="24"/>
          <w:szCs w:val="24"/>
        </w:rPr>
        <w:t xml:space="preserve">  веб - сайтi  протягом  одного  робочого  дня  пiсля  його  отримання  товариством.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Члени наглядової ради обирають голову наглядової ради та його заступника.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Загальнi збори акцiонерiв можуть прийняти рiшення про дострокове припинення повнова</w:t>
      </w:r>
      <w:r>
        <w:rPr>
          <w:rFonts w:ascii="Times New Roman CYR" w:hAnsi="Times New Roman CYR" w:cs="Times New Roman CYR"/>
          <w:sz w:val="24"/>
          <w:szCs w:val="24"/>
        </w:rPr>
        <w:t>жень членiв наглядової ради та одночасне обрання нових членiв. З припиненням повноважень членiв наглядової ради одночасно припиняється дiя договору заключного з ними.</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Без рiшення загальних зборiв повноваження члена Наглядової ради з одночасним припиненням договору припиняються: за його бажанням за умови письмового повiдомлення про це Товариства за два тижнi; в разi неможливостi виконання обов'язкiв за станом здоров'я; в</w:t>
      </w:r>
      <w:r>
        <w:rPr>
          <w:rFonts w:ascii="Times New Roman CYR" w:hAnsi="Times New Roman CYR" w:cs="Times New Roman CYR"/>
          <w:sz w:val="24"/>
          <w:szCs w:val="24"/>
        </w:rPr>
        <w:t xml:space="preserve"> разi набрання законної сили вироком чи рiшенням суду, яким його засуджено до покарання, що виключає можливiсть виконання ним обов'язкiв; в разi смертi, визнання його недiєздатним, обмежено дiєздатним, безвiсно вiдсутнiм, померлим; у разi отримання акцiоне</w:t>
      </w:r>
      <w:r>
        <w:rPr>
          <w:rFonts w:ascii="Times New Roman CYR" w:hAnsi="Times New Roman CYR" w:cs="Times New Roman CYR"/>
          <w:sz w:val="24"/>
          <w:szCs w:val="24"/>
        </w:rPr>
        <w:t>рним товариством письмового повiдомлення про замiну члена наглядової ради, який є представником акцiонера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Директор:</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Директор обирається наглядовою радою Товариства.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Припинення повноважень директора здiйснюється рiшенням наглядової ради з дотриманням вимог </w:t>
      </w:r>
      <w:r>
        <w:rPr>
          <w:rFonts w:ascii="Times New Roman CYR" w:hAnsi="Times New Roman CYR" w:cs="Times New Roman CYR"/>
          <w:sz w:val="24"/>
          <w:szCs w:val="24"/>
        </w:rPr>
        <w:t>законодавства України, зокрема законодавства про працю, та умов укладених з ними договорiв.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Повноваження Директора припиняються достроково у разi: - подання до Наглядової ради заяви про складання повноважень; - його смертi, визнання його судом недiєздатним</w:t>
      </w:r>
      <w:r>
        <w:rPr>
          <w:rFonts w:ascii="Times New Roman CYR" w:hAnsi="Times New Roman CYR" w:cs="Times New Roman CYR"/>
          <w:sz w:val="24"/>
          <w:szCs w:val="24"/>
        </w:rPr>
        <w:t>, обмежено дiєздатним, безвiсно вiдсутнiм; - в разi набрання законної сили вироком чи рiшенням суду, яким його засуджено до покарання, що виключає можливiсть виконання ним своїх обов'язкiв; - вiдкликання його за рiшенням Наглядової ради; - визнання Загальн</w:t>
      </w:r>
      <w:r>
        <w:rPr>
          <w:rFonts w:ascii="Times New Roman CYR" w:hAnsi="Times New Roman CYR" w:cs="Times New Roman CYR"/>
          <w:sz w:val="24"/>
          <w:szCs w:val="24"/>
        </w:rPr>
        <w:t>ими зборами або Наглядовою радою роботи Директора незадовiльною; - настання iнших обставин, передбачених чинним законодавством, договором (контрактом), укладеним мiж Товариством та Директором.</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"Iнформацiя про будь-якi винагороди або компенсацiї, якi мають</w:t>
      </w:r>
      <w:r>
        <w:rPr>
          <w:rFonts w:ascii="Times New Roman CYR" w:hAnsi="Times New Roman CYR" w:cs="Times New Roman CYR"/>
          <w:sz w:val="24"/>
          <w:szCs w:val="24"/>
        </w:rPr>
        <w:t xml:space="preserve"> бути виплаченi посадовим особам емiтента в разi їх звiльнення" не розкривається приватними акцiонерними товариствами.</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9) повноваження посадових осіб емітента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До виключної компетенцiї наглядової ради належить: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затвердження в межах своєї компетенцiї п</w:t>
      </w:r>
      <w:r>
        <w:rPr>
          <w:rFonts w:ascii="Times New Roman CYR" w:hAnsi="Times New Roman CYR" w:cs="Times New Roman CYR"/>
          <w:sz w:val="24"/>
          <w:szCs w:val="24"/>
        </w:rPr>
        <w:t>оложень, якими регулюються питання, пов'язанi з дiяльнiстю Товариства;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пiдготовка проекту порядку денного та змiн до нього та проекту рiшень з питань включених до порядку денного загальних зборiв акцiонерiв, прийняття рiшення про дату їх проведення та пр</w:t>
      </w:r>
      <w:r>
        <w:rPr>
          <w:rFonts w:ascii="Times New Roman CYR" w:hAnsi="Times New Roman CYR" w:cs="Times New Roman CYR"/>
          <w:sz w:val="24"/>
          <w:szCs w:val="24"/>
        </w:rPr>
        <w:t xml:space="preserve">о включення пропозицiй до порядку денного, крiм скликання акцiонерами позачергових загальних зборiв;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прийняття рiшення про проведення чергових та позачергових загальних зборiв;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-прийняття рiшення про продаж, ранiше викуплених Товариством, акцiй;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при</w:t>
      </w:r>
      <w:r>
        <w:rPr>
          <w:rFonts w:ascii="Times New Roman CYR" w:hAnsi="Times New Roman CYR" w:cs="Times New Roman CYR"/>
          <w:sz w:val="24"/>
          <w:szCs w:val="24"/>
        </w:rPr>
        <w:t xml:space="preserve">йняття рiшення про розмiщення Товариством iнших цiнних паперiв, крiм акцiй;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-прийняття рiшення про викуп розмiщених Товариством iнших, крiм акцiй, цiнних паперiв;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-розгляд звiту директора та затвердження заходiв за результатами його розгляду ;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-обрання </w:t>
      </w:r>
      <w:r>
        <w:rPr>
          <w:rFonts w:ascii="Times New Roman CYR" w:hAnsi="Times New Roman CYR" w:cs="Times New Roman CYR"/>
          <w:sz w:val="24"/>
          <w:szCs w:val="24"/>
        </w:rPr>
        <w:t xml:space="preserve">та припинення повноважень директора;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-затвердження трудового договору (контракту), який укладається з директором, встановлення розмiру його винагороди;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-прийняття рiшення про вiдсторонення директора вiд виконання його повноважень та обрання особи, яка ти</w:t>
      </w:r>
      <w:r>
        <w:rPr>
          <w:rFonts w:ascii="Times New Roman CYR" w:hAnsi="Times New Roman CYR" w:cs="Times New Roman CYR"/>
          <w:sz w:val="24"/>
          <w:szCs w:val="24"/>
        </w:rPr>
        <w:t xml:space="preserve">мчасово здiйснюватиме повноваження директора;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-обрання реєстрацiйної комiсiї, за винятком випадкiв, встановлених чинним законодавством України; реєстрацiйна  комiсiя  виконує  функцiї  тимчасової  лiчильної  комiсiї.</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-обрання аудитора Товариства та визнач</w:t>
      </w:r>
      <w:r>
        <w:rPr>
          <w:rFonts w:ascii="Times New Roman CYR" w:hAnsi="Times New Roman CYR" w:cs="Times New Roman CYR"/>
          <w:sz w:val="24"/>
          <w:szCs w:val="24"/>
        </w:rPr>
        <w:t>ення умов договору, що укладатиметься з ним, встановлення розмiру оплати його послуг;</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-визначення дати складення перелiку акцiонерiв, якi мають право на отримання дивiдендiв, порядку та строкiв виплати дивiдендiв у межах граничного строку, визначеного зако</w:t>
      </w:r>
      <w:r>
        <w:rPr>
          <w:rFonts w:ascii="Times New Roman CYR" w:hAnsi="Times New Roman CYR" w:cs="Times New Roman CYR"/>
          <w:sz w:val="24"/>
          <w:szCs w:val="24"/>
        </w:rPr>
        <w:t xml:space="preserve">нодавством України;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-визначення дати складення перелiку акцiонерiв, якi мають бути повiдомленi про проведення загальних зборiв акцiонерiв;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-прийняття рiшення про вчинення значних правочинiв, якщо ринкова вартiсть майна або послуг,  що є його предметом,  </w:t>
      </w:r>
      <w:r>
        <w:rPr>
          <w:rFonts w:ascii="Times New Roman CYR" w:hAnsi="Times New Roman CYR" w:cs="Times New Roman CYR"/>
          <w:sz w:val="24"/>
          <w:szCs w:val="24"/>
        </w:rPr>
        <w:t xml:space="preserve">становить вiд 10 до  25  вiдсоткiв  вартостi  активiв  за  даними  останньої рiчної фiнансової   звiтностi   Товариства;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-визначення ймовiрностi визнання Товариства неплатоспроможним внаслiдок прийняття ним на себе зобов'язань або їх виконання, у тому чис</w:t>
      </w:r>
      <w:r>
        <w:rPr>
          <w:rFonts w:ascii="Times New Roman CYR" w:hAnsi="Times New Roman CYR" w:cs="Times New Roman CYR"/>
          <w:sz w:val="24"/>
          <w:szCs w:val="24"/>
        </w:rPr>
        <w:t xml:space="preserve">лi внаслiдок виплати дивiдендiв або викупу акцiй;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прийняття рiшення про обрання оцiнювача майна Товариства та затвердження умов договору, що укладатиметься з ним, встановлення розмiру оплати його послуг, затвердження ринкової вартостi майна;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-прийняття рiшення про обрання (замiну) реєстратора власникiв iменних цiнних паперiв Товариства або депозитарiю цiнних паперiв та затвердження умов договору, що укладатиметься з ним, встановлення розмiру оплати його послуг;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-надсилання в порядку, передбач</w:t>
      </w:r>
      <w:r>
        <w:rPr>
          <w:rFonts w:ascii="Times New Roman CYR" w:hAnsi="Times New Roman CYR" w:cs="Times New Roman CYR"/>
          <w:sz w:val="24"/>
          <w:szCs w:val="24"/>
        </w:rPr>
        <w:t>еному чинним законодавством України, пропозицiй акцiонерам про придбання особою (особами, що дiють спiльно) контрольного пакета акцiй вiдповiдно;</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-отримання вiд депозитарiю перелiку акцiонерiв для  їх повiдомлення про проведення загальних зборiв акцiонерiв</w:t>
      </w:r>
      <w:r>
        <w:rPr>
          <w:rFonts w:ascii="Times New Roman CYR" w:hAnsi="Times New Roman CYR" w:cs="Times New Roman CYR"/>
          <w:sz w:val="24"/>
          <w:szCs w:val="24"/>
        </w:rPr>
        <w:t>;</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-отримання вiд депозитарiю перелiку акцiонерiв для  реєстрацiї та участi в загальних зборах акцiонерiв, в вiдповiдностi з п.10.4.;</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-вирiшення iнших питань, що належать до виключної компетенцiї наглядової ради згiдно iз законом.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-затвердження  внутрiшнiх</w:t>
      </w:r>
      <w:r>
        <w:rPr>
          <w:rFonts w:ascii="Times New Roman CYR" w:hAnsi="Times New Roman CYR" w:cs="Times New Roman CYR"/>
          <w:sz w:val="24"/>
          <w:szCs w:val="24"/>
        </w:rPr>
        <w:t xml:space="preserve"> документiв(положень) Товариства, що  не належить до компетенцiї загальних зборiв;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До повноважень Голови Наглядової ради належить:</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органiзовує її роботу;</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скликає засiдання наглядової ради та головує на них;</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-вiдкриває та веде загальнi збори;</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-органiзо</w:t>
      </w:r>
      <w:r>
        <w:rPr>
          <w:rFonts w:ascii="Times New Roman CYR" w:hAnsi="Times New Roman CYR" w:cs="Times New Roman CYR"/>
          <w:sz w:val="24"/>
          <w:szCs w:val="24"/>
        </w:rPr>
        <w:t>вує обрання секретаря загальних зборiв акцiонерiв;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-здiйснює iншi повноваження, передбаченi статутом та положенням про наглядову раду.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До компетенцiї Директора належить: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затвердження поточних планiв дiяльностi Товариства та заходiв для їх виконання;</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розробка та затвердження штатного розкладу та фонду оплати працi Товариства (за виключенням членiв наглядової ради та директора);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затвердження правил внутрiшнього трудового розпорядку та iнших внутрiшнiх документiв Товариства;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вiдкриття рахункiв в банк</w:t>
      </w:r>
      <w:r>
        <w:rPr>
          <w:rFonts w:ascii="Times New Roman CYR" w:hAnsi="Times New Roman CYR" w:cs="Times New Roman CYR"/>
          <w:sz w:val="24"/>
          <w:szCs w:val="24"/>
        </w:rPr>
        <w:t>ах, розпорядження коштами Товариства, укладання договорiв.;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lastRenderedPageBreak/>
        <w:t>- органiзацiя ведення бухгалтерського облiку та звiтностi Товариства;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прийняття рiшень про проведення перевiрки фiнансово-господарської дiяльностi Товариства;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вжиття заходiв щодо забезпечення </w:t>
      </w:r>
      <w:r>
        <w:rPr>
          <w:rFonts w:ascii="Times New Roman CYR" w:hAnsi="Times New Roman CYR" w:cs="Times New Roman CYR"/>
          <w:sz w:val="24"/>
          <w:szCs w:val="24"/>
        </w:rPr>
        <w:t>захисту iнформацiї, що становить комерцiйну таємницю;</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визначення органiзацiйної структури Товариства;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прийняття рiшень з iнших питань, пов'язаних з управлiнням поточною дiяльнiстю Товариства.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здiйснення дiй  вiд  iменi  Товариства  вiдповiдно  до  ст</w:t>
      </w:r>
      <w:r>
        <w:rPr>
          <w:rFonts w:ascii="Times New Roman CYR" w:hAnsi="Times New Roman CYR" w:cs="Times New Roman CYR"/>
          <w:sz w:val="24"/>
          <w:szCs w:val="24"/>
        </w:rPr>
        <w:t xml:space="preserve">атуту,  в  тому  числi   представлення i захист його iнтересiв в органiзацiях державної i виконавчої влади, судах, представницьких органах,  а також в вiтчизняних та iноземних пiдприємствах, установах, органiзацiях незалежно вiд форм власностi,  вчинення  </w:t>
      </w:r>
      <w:r>
        <w:rPr>
          <w:rFonts w:ascii="Times New Roman CYR" w:hAnsi="Times New Roman CYR" w:cs="Times New Roman CYR"/>
          <w:sz w:val="24"/>
          <w:szCs w:val="24"/>
        </w:rPr>
        <w:t>правочинiв  вiд  iменi  Товариства, видача наказiв та  розпоряджень, обов'язкових для виконання всiма працiвниками Товариства;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здiйснення пiдбору, найму та звiльнення персоналу (працiвникiв);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пiдписання колективного договору;</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прийняття рiшень про вчи</w:t>
      </w:r>
      <w:r>
        <w:rPr>
          <w:rFonts w:ascii="Times New Roman CYR" w:hAnsi="Times New Roman CYR" w:cs="Times New Roman CYR"/>
          <w:sz w:val="24"/>
          <w:szCs w:val="24"/>
        </w:rPr>
        <w:t xml:space="preserve">нення  правочинiв, якщо ринкова вартiсть майна або послуг,  що є його предметом,  становить не вище 10 вiдсоткiв  вартостi  активiв  за  даними  останньої рiчної фiнансової   звiтностi   Товариства; </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вирiшення питань з надання примiщень в оренду та iнших господарських питань.</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вирiшення iнших питань, вiднесених до його компетенцiї статутом, трудовим договором (контрактом) та внутрiшнiми документами Товариства.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в межах своєї компетенцiї видає наказ</w:t>
      </w:r>
      <w:r>
        <w:rPr>
          <w:rFonts w:ascii="Times New Roman CYR" w:hAnsi="Times New Roman CYR" w:cs="Times New Roman CYR"/>
          <w:sz w:val="24"/>
          <w:szCs w:val="24"/>
        </w:rPr>
        <w:t>и та розпорядження, дає вказiвки, якi є обов'язковими до виконання всiма пiдроздiлами та штатними працiвниками Товариства.</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10) Висловлення думки аудитора (аудиторської фірми) щодо інформації, зазначеної у підпунктах 5-9 цього пункту, а також перевірки і</w:t>
      </w:r>
      <w:r>
        <w:rPr>
          <w:rFonts w:ascii="Times New Roman CYR" w:hAnsi="Times New Roman CYR" w:cs="Times New Roman CYR"/>
          <w:b/>
          <w:bCs/>
          <w:sz w:val="24"/>
          <w:szCs w:val="24"/>
        </w:rPr>
        <w:t>нформації, зазначеної в підпунктах 1-4 цього пункту</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11) Інформація, передбачена Законом України "Про фінансові послуги та державне регулювання ринку фінансових послуг" (для фінансових установ)</w:t>
      </w: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both"/>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sectPr w:rsidR="00000000">
          <w:pgSz w:w="12240" w:h="15840"/>
          <w:pgMar w:top="850" w:right="850" w:bottom="850" w:left="1400" w:header="720" w:footer="720" w:gutter="0"/>
          <w:cols w:space="720"/>
          <w:noEndnote/>
        </w:sect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VIII. Інформація про осіб, що володіють 5 і біл</w:t>
      </w:r>
      <w:r>
        <w:rPr>
          <w:rFonts w:ascii="Times New Roman CYR" w:hAnsi="Times New Roman CYR" w:cs="Times New Roman CYR"/>
          <w:b/>
          <w:bCs/>
          <w:sz w:val="28"/>
          <w:szCs w:val="28"/>
        </w:rPr>
        <w:t>ьше відсотками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3300"/>
        <w:gridCol w:w="1400"/>
        <w:gridCol w:w="2300"/>
        <w:gridCol w:w="2000"/>
        <w:gridCol w:w="2000"/>
        <w:gridCol w:w="2000"/>
        <w:gridCol w:w="2121"/>
      </w:tblGrid>
      <w:tr w:rsidR="00000000" w:rsidRPr="00707CE2">
        <w:tblPrEx>
          <w:tblCellMar>
            <w:top w:w="0" w:type="dxa"/>
            <w:bottom w:w="0" w:type="dxa"/>
          </w:tblCellMar>
        </w:tblPrEx>
        <w:trPr>
          <w:trHeight w:val="200"/>
        </w:trPr>
        <w:tc>
          <w:tcPr>
            <w:tcW w:w="3300" w:type="dxa"/>
            <w:vMerge w:val="restart"/>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Найменування юридичної особи</w:t>
            </w:r>
          </w:p>
        </w:tc>
        <w:tc>
          <w:tcPr>
            <w:tcW w:w="1400" w:type="dxa"/>
            <w:vMerge w:val="restart"/>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Ідентифікаційний код юридичної особи</w:t>
            </w:r>
          </w:p>
        </w:tc>
        <w:tc>
          <w:tcPr>
            <w:tcW w:w="2300" w:type="dxa"/>
            <w:vMerge w:val="restart"/>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Місцезнаходження</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Кількість за видами акцій</w:t>
            </w:r>
          </w:p>
        </w:tc>
      </w:tr>
      <w:tr w:rsidR="00000000" w:rsidRPr="00707CE2">
        <w:tblPrEx>
          <w:tblCellMar>
            <w:top w:w="0" w:type="dxa"/>
            <w:bottom w:w="0" w:type="dxa"/>
          </w:tblCellMar>
        </w:tblPrEx>
        <w:trPr>
          <w:trHeight w:val="200"/>
        </w:trPr>
        <w:tc>
          <w:tcPr>
            <w:tcW w:w="3300" w:type="dxa"/>
            <w:vMerge/>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p>
        </w:tc>
        <w:tc>
          <w:tcPr>
            <w:tcW w:w="1400" w:type="dxa"/>
            <w:vMerge/>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p>
        </w:tc>
        <w:tc>
          <w:tcPr>
            <w:tcW w:w="2300" w:type="dxa"/>
            <w:vMerge/>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b/>
                <w:bCs/>
              </w:rPr>
              <w:t>Привілейовані іменні</w:t>
            </w:r>
          </w:p>
        </w:tc>
      </w:tr>
      <w:tr w:rsidR="00000000" w:rsidRPr="00707CE2">
        <w:tblPrEx>
          <w:tblCellMar>
            <w:top w:w="0" w:type="dxa"/>
            <w:bottom w:w="0" w:type="dxa"/>
          </w:tblCellMar>
        </w:tblPrEx>
        <w:trPr>
          <w:trHeight w:val="200"/>
        </w:trPr>
        <w:tc>
          <w:tcPr>
            <w:tcW w:w="330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14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23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2121"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r>
      <w:tr w:rsidR="00000000" w:rsidRPr="00707CE2">
        <w:tblPrEx>
          <w:tblCellMar>
            <w:top w:w="0" w:type="dxa"/>
            <w:bottom w:w="0" w:type="dxa"/>
          </w:tblCellMar>
        </w:tblPrEx>
        <w:trPr>
          <w:trHeight w:val="200"/>
        </w:trPr>
        <w:tc>
          <w:tcPr>
            <w:tcW w:w="7000" w:type="dxa"/>
            <w:gridSpan w:val="3"/>
            <w:vMerge w:val="restart"/>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Прізвище, ім'я, по батькові (за наявності) фізичної особи</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Кількість акцій (шт.)</w:t>
            </w:r>
          </w:p>
        </w:tc>
        <w:tc>
          <w:tcPr>
            <w:tcW w:w="2000" w:type="dxa"/>
            <w:vMerge w:val="restart"/>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Від загальної кількості акцій (у відсотках)</w:t>
            </w:r>
          </w:p>
        </w:tc>
        <w:tc>
          <w:tcPr>
            <w:tcW w:w="4121"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Кількість за типами акцій</w:t>
            </w:r>
          </w:p>
        </w:tc>
      </w:tr>
      <w:tr w:rsidR="00000000" w:rsidRPr="00707CE2">
        <w:tblPrEx>
          <w:tblCellMar>
            <w:top w:w="0" w:type="dxa"/>
            <w:bottom w:w="0" w:type="dxa"/>
          </w:tblCellMar>
        </w:tblPrEx>
        <w:trPr>
          <w:trHeight w:val="200"/>
        </w:trPr>
        <w:tc>
          <w:tcPr>
            <w:tcW w:w="7000" w:type="dxa"/>
            <w:gridSpan w:val="3"/>
            <w:vMerge/>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p>
        </w:tc>
        <w:tc>
          <w:tcPr>
            <w:tcW w:w="2000" w:type="dxa"/>
            <w:vMerge/>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Прості іменні</w:t>
            </w:r>
          </w:p>
        </w:tc>
        <w:tc>
          <w:tcPr>
            <w:tcW w:w="2121"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b/>
                <w:bCs/>
              </w:rPr>
              <w:t>Привілейовані іменні</w:t>
            </w:r>
          </w:p>
        </w:tc>
      </w:tr>
      <w:tr w:rsidR="00000000" w:rsidRPr="00707CE2">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Войтанiк Валерiй Олексiйович</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1 790</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52,049</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1 790</w:t>
            </w:r>
          </w:p>
        </w:tc>
        <w:tc>
          <w:tcPr>
            <w:tcW w:w="2121"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Пухтель Євгенiя Петрiвна</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359</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10,436</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359</w:t>
            </w:r>
          </w:p>
        </w:tc>
        <w:tc>
          <w:tcPr>
            <w:tcW w:w="2121"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Войтанiк Леонiд Валерiйович</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418</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12,1512</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418</w:t>
            </w:r>
          </w:p>
        </w:tc>
        <w:tc>
          <w:tcPr>
            <w:tcW w:w="2121"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Мельник Ганна Iванiвна</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221</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6,4244</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221</w:t>
            </w:r>
          </w:p>
        </w:tc>
        <w:tc>
          <w:tcPr>
            <w:tcW w:w="2121"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7000" w:type="dxa"/>
            <w:gridSpan w:val="3"/>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right"/>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Усього</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2 788</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81,0606</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2 788</w:t>
            </w:r>
          </w:p>
        </w:tc>
        <w:tc>
          <w:tcPr>
            <w:tcW w:w="2121"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bl>
    <w:p w:rsidR="00000000" w:rsidRDefault="00707CE2">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20" w:footer="720" w:gutter="0"/>
          <w:cols w:space="720"/>
          <w:noEndnote/>
        </w:sect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 Структура капіталу</w:t>
      </w: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p>
    <w:tbl>
      <w:tblPr>
        <w:tblW w:w="0" w:type="auto"/>
        <w:tblInd w:w="-354" w:type="dxa"/>
        <w:tblBorders>
          <w:top w:val="single" w:sz="6" w:space="0" w:color="auto"/>
          <w:left w:val="single" w:sz="6" w:space="0" w:color="auto"/>
          <w:bottom w:val="single" w:sz="6" w:space="0" w:color="auto"/>
          <w:right w:val="single" w:sz="6" w:space="0" w:color="auto"/>
        </w:tblBorders>
        <w:tblLayout w:type="fixed"/>
        <w:tblLook w:val="0000"/>
      </w:tblPr>
      <w:tblGrid>
        <w:gridCol w:w="2462"/>
        <w:gridCol w:w="2000"/>
        <w:gridCol w:w="2000"/>
        <w:gridCol w:w="5000"/>
        <w:gridCol w:w="3621"/>
      </w:tblGrid>
      <w:tr w:rsidR="00000000" w:rsidRPr="00707CE2">
        <w:tblPrEx>
          <w:tblCellMar>
            <w:top w:w="0" w:type="dxa"/>
            <w:bottom w:w="0" w:type="dxa"/>
          </w:tblCellMar>
        </w:tblPrEx>
        <w:trPr>
          <w:trHeight w:val="300"/>
        </w:trPr>
        <w:tc>
          <w:tcPr>
            <w:tcW w:w="2462"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Тип та/або клас акцій</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Кількість акцій (шт.)</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Номінальна вартість (грн)</w:t>
            </w:r>
          </w:p>
        </w:tc>
        <w:tc>
          <w:tcPr>
            <w:tcW w:w="5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Права та обов'язки</w:t>
            </w:r>
          </w:p>
        </w:tc>
        <w:tc>
          <w:tcPr>
            <w:tcW w:w="3621"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Наявність публічної пропозиції та/або допуску до торгів на фондовій біржі в частині включення до біржового реєстру</w:t>
            </w:r>
          </w:p>
        </w:tc>
      </w:tr>
      <w:tr w:rsidR="00000000" w:rsidRPr="00707CE2">
        <w:tblPrEx>
          <w:tblCellMar>
            <w:top w:w="0" w:type="dxa"/>
            <w:bottom w:w="0" w:type="dxa"/>
          </w:tblCellMar>
        </w:tblPrEx>
        <w:trPr>
          <w:trHeight w:val="300"/>
        </w:trPr>
        <w:tc>
          <w:tcPr>
            <w:tcW w:w="2462"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акцiї простi iменнi</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3 440</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300,00</w:t>
            </w:r>
          </w:p>
        </w:tc>
        <w:tc>
          <w:tcPr>
            <w:tcW w:w="5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Права та обов'язки акцiонерiв у вiдповiдностi до Закону України "Про акцiонернi товариства" передбаченi Статутом Товариства. Кожна проста акцiя Товариства надає її власнику - акцiонеру однакову сукупнiсть прав, включаючи права: брати участь в управлiннi То</w:t>
            </w:r>
            <w:r w:rsidRPr="00707CE2">
              <w:rPr>
                <w:rFonts w:ascii="Times New Roman CYR" w:eastAsiaTheme="minorEastAsia" w:hAnsi="Times New Roman CYR" w:cs="Times New Roman CYR"/>
                <w:sz w:val="20"/>
                <w:szCs w:val="20"/>
              </w:rPr>
              <w:t xml:space="preserve">вариством,  отримання дивiдендiв; право на отримання iнформацiї про господарську дiяльнiсть Товариства; право на отримання у разi лiквiдацiї Товариства частини його майна або вартостi частини майна Товариства,  акцiонери Товариства також мають iншi права, </w:t>
            </w:r>
            <w:r w:rsidRPr="00707CE2">
              <w:rPr>
                <w:rFonts w:ascii="Times New Roman CYR" w:eastAsiaTheme="minorEastAsia" w:hAnsi="Times New Roman CYR" w:cs="Times New Roman CYR"/>
                <w:sz w:val="20"/>
                <w:szCs w:val="20"/>
              </w:rPr>
              <w:t>передбаченi актами законодавства та Статутом. Акцiонер - власник простих акцiй Товариства має переважне право придбавати розмiщуванi Товариством простi акцiї у процесi приватного розмiщення акцiй  (крiм випадку прийняття загальними зборами рiшення про неви</w:t>
            </w:r>
            <w:r w:rsidRPr="00707CE2">
              <w:rPr>
                <w:rFonts w:ascii="Times New Roman CYR" w:eastAsiaTheme="minorEastAsia" w:hAnsi="Times New Roman CYR" w:cs="Times New Roman CYR"/>
                <w:sz w:val="20"/>
                <w:szCs w:val="20"/>
              </w:rPr>
              <w:t>користання такого права) пропорцiйно частцi належних йому простих акцiй у загальнiй кiлькостi простих акцiй.</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Акцiонери Товариства зобов'язанi: дотримуватися Статуту, iнших внутрiшнiх Положень та документiв Товариства; виконувати рiшення загальних зборiв, i</w:t>
            </w:r>
            <w:r w:rsidRPr="00707CE2">
              <w:rPr>
                <w:rFonts w:ascii="Times New Roman CYR" w:eastAsiaTheme="minorEastAsia" w:hAnsi="Times New Roman CYR" w:cs="Times New Roman CYR"/>
                <w:sz w:val="20"/>
                <w:szCs w:val="20"/>
              </w:rPr>
              <w:t>нших органiв Товариства, виданi в межах наданих їм повноважень; виконувати свої зобов'язання перед Товариством, у тому числi пов'язанi з майновою участю; оплачувати акцiї у розмiрi, в порядку та засобами, що передбаченi Статутом та рiшеннями вiдповiдних ор</w:t>
            </w:r>
            <w:r w:rsidRPr="00707CE2">
              <w:rPr>
                <w:rFonts w:ascii="Times New Roman CYR" w:eastAsiaTheme="minorEastAsia" w:hAnsi="Times New Roman CYR" w:cs="Times New Roman CYR"/>
                <w:sz w:val="20"/>
                <w:szCs w:val="20"/>
              </w:rPr>
              <w:t>ганiв Товариства; не розголошувати комерцiйну таємницю та конфiденцiйну iнформацiю про дiяльнiсть Товариства. нести iншi обов'язки, встановленi чинним законодавством України.</w:t>
            </w:r>
          </w:p>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0"/>
                <w:szCs w:val="20"/>
              </w:rPr>
            </w:pPr>
          </w:p>
        </w:tc>
        <w:tc>
          <w:tcPr>
            <w:tcW w:w="3621"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 xml:space="preserve">публiчної пропозицiї та допуску до торгiв нафондовiй бiржi не має, до бiржового </w:t>
            </w:r>
            <w:r w:rsidRPr="00707CE2">
              <w:rPr>
                <w:rFonts w:ascii="Times New Roman CYR" w:eastAsiaTheme="minorEastAsia" w:hAnsi="Times New Roman CYR" w:cs="Times New Roman CYR"/>
                <w:sz w:val="20"/>
                <w:szCs w:val="20"/>
              </w:rPr>
              <w:t xml:space="preserve">реєстру не включенi </w:t>
            </w:r>
            <w:r w:rsidRPr="00707CE2">
              <w:rPr>
                <w:rFonts w:ascii="Times New Roman CYR" w:eastAsiaTheme="minorEastAsia" w:hAnsi="Times New Roman CYR" w:cs="Times New Roman CYR"/>
                <w:sz w:val="20"/>
                <w:szCs w:val="20"/>
              </w:rPr>
              <w:tab/>
            </w:r>
          </w:p>
        </w:tc>
      </w:tr>
      <w:tr w:rsidR="00000000" w:rsidRPr="00707CE2">
        <w:tblPrEx>
          <w:tblCellMar>
            <w:top w:w="0" w:type="dxa"/>
            <w:bottom w:w="0" w:type="dxa"/>
          </w:tblCellMar>
        </w:tblPrEx>
        <w:trPr>
          <w:trHeight w:val="300"/>
        </w:trPr>
        <w:tc>
          <w:tcPr>
            <w:tcW w:w="15083" w:type="dxa"/>
            <w:gridSpan w:val="5"/>
            <w:tcBorders>
              <w:top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Примітки:</w:t>
            </w:r>
          </w:p>
        </w:tc>
      </w:tr>
      <w:tr w:rsidR="00000000" w:rsidRPr="00707CE2">
        <w:tblPrEx>
          <w:tblCellMar>
            <w:top w:w="0" w:type="dxa"/>
            <w:bottom w:w="0" w:type="dxa"/>
          </w:tblCellMar>
        </w:tblPrEx>
        <w:trPr>
          <w:trHeight w:val="300"/>
        </w:trPr>
        <w:tc>
          <w:tcPr>
            <w:tcW w:w="15083" w:type="dxa"/>
            <w:gridSpan w:val="5"/>
            <w:tcBorders>
              <w:top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 xml:space="preserve">Випуск iнших цiнних паперiв Товариством не здiйснювався. Випущенi Товариством акцiї iснують в бездокументарнiй формi. </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0"/>
          <w:szCs w:val="20"/>
        </w:rPr>
        <w:sectPr w:rsidR="00000000">
          <w:pgSz w:w="16838" w:h="11906" w:orient="landscape"/>
          <w:pgMar w:top="850" w:right="850" w:bottom="850" w:left="1400" w:header="720" w:footer="720" w:gutter="0"/>
          <w:cols w:space="720"/>
          <w:noEndnote/>
        </w:sectPr>
      </w:pPr>
    </w:p>
    <w:p w:rsidR="00000000" w:rsidRDefault="00707CE2">
      <w:pPr>
        <w:widowControl w:val="0"/>
        <w:autoSpaceDE w:val="0"/>
        <w:autoSpaceDN w:val="0"/>
        <w:adjustRightInd w:val="0"/>
        <w:spacing w:after="0" w:line="240" w:lineRule="auto"/>
        <w:rPr>
          <w:rFonts w:ascii="Times New Roman CYR" w:hAnsi="Times New Roman CYR" w:cs="Times New Roman CYR"/>
          <w:sz w:val="20"/>
          <w:szCs w:val="20"/>
        </w:rPr>
        <w:sectPr w:rsidR="00000000">
          <w:pgSz w:w="12240" w:h="15840"/>
          <w:pgMar w:top="850" w:right="850" w:bottom="850" w:left="1400" w:header="720" w:footer="720" w:gutter="0"/>
          <w:cols w:space="720"/>
          <w:noEndnote/>
        </w:sect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XI. Відомості про цінні папери емітента</w:t>
      </w: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випуски акцій емітента</w:t>
      </w:r>
    </w:p>
    <w:tbl>
      <w:tblPr>
        <w:tblW w:w="0" w:type="auto"/>
        <w:tblInd w:w="-392" w:type="dxa"/>
        <w:tblBorders>
          <w:top w:val="single" w:sz="6" w:space="0" w:color="auto"/>
          <w:left w:val="single" w:sz="6" w:space="0" w:color="auto"/>
          <w:bottom w:val="single" w:sz="6" w:space="0" w:color="auto"/>
          <w:right w:val="single" w:sz="6" w:space="0" w:color="auto"/>
        </w:tblBorders>
        <w:tblLayout w:type="fixed"/>
        <w:tblLook w:val="0000"/>
      </w:tblPr>
      <w:tblGrid>
        <w:gridCol w:w="1250"/>
        <w:gridCol w:w="1350"/>
        <w:gridCol w:w="2400"/>
        <w:gridCol w:w="1700"/>
        <w:gridCol w:w="1500"/>
        <w:gridCol w:w="1450"/>
        <w:gridCol w:w="1450"/>
        <w:gridCol w:w="1200"/>
        <w:gridCol w:w="1400"/>
        <w:gridCol w:w="1400"/>
      </w:tblGrid>
      <w:tr w:rsidR="00000000" w:rsidRPr="00707CE2">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Дата реєстрації випуску</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Номер свідоцтва про реєстрацію випуску</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Найменування органу, що зареєстрував випуск</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Міжнародний ідентифікаційний номер</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Тип цінного папера</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Форма існування та форма випуску</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Номінальна вартість (</w:t>
            </w:r>
            <w:r w:rsidRPr="00707CE2">
              <w:rPr>
                <w:rFonts w:ascii="Times New Roman CYR" w:eastAsiaTheme="minorEastAsia" w:hAnsi="Times New Roman CYR" w:cs="Times New Roman CYR"/>
                <w:b/>
                <w:bCs/>
              </w:rPr>
              <w:t>грн)</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Кількість акцій (шт.)</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Загальна номінальна вартість (грн)</w:t>
            </w:r>
          </w:p>
        </w:tc>
        <w:tc>
          <w:tcPr>
            <w:tcW w:w="14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Частка у статутному капіталі (у відсотках)</w:t>
            </w:r>
          </w:p>
        </w:tc>
      </w:tr>
      <w:tr w:rsidR="00000000" w:rsidRPr="00707CE2">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w:t>
            </w:r>
          </w:p>
        </w:tc>
        <w:tc>
          <w:tcPr>
            <w:tcW w:w="13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w:t>
            </w:r>
          </w:p>
        </w:tc>
        <w:tc>
          <w:tcPr>
            <w:tcW w:w="24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w:t>
            </w:r>
          </w:p>
        </w:tc>
        <w:tc>
          <w:tcPr>
            <w:tcW w:w="17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5</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6</w:t>
            </w:r>
          </w:p>
        </w:tc>
        <w:tc>
          <w:tcPr>
            <w:tcW w:w="14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7</w:t>
            </w:r>
          </w:p>
        </w:tc>
        <w:tc>
          <w:tcPr>
            <w:tcW w:w="12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8</w:t>
            </w:r>
          </w:p>
        </w:tc>
        <w:tc>
          <w:tcPr>
            <w:tcW w:w="14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9</w:t>
            </w:r>
          </w:p>
        </w:tc>
        <w:tc>
          <w:tcPr>
            <w:tcW w:w="14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w:t>
            </w:r>
          </w:p>
        </w:tc>
      </w:tr>
      <w:tr w:rsidR="00000000" w:rsidRPr="00707CE2">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29.10.2010</w:t>
            </w:r>
          </w:p>
        </w:tc>
        <w:tc>
          <w:tcPr>
            <w:tcW w:w="135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39/03/1/10</w:t>
            </w:r>
          </w:p>
        </w:tc>
        <w:tc>
          <w:tcPr>
            <w:tcW w:w="24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Волинське теруправлiння ДКЦПФР</w:t>
            </w:r>
          </w:p>
        </w:tc>
        <w:tc>
          <w:tcPr>
            <w:tcW w:w="17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UA4000095566</w:t>
            </w:r>
          </w:p>
        </w:tc>
        <w:tc>
          <w:tcPr>
            <w:tcW w:w="15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Акція проста бездокументарна іменна</w:t>
            </w:r>
          </w:p>
        </w:tc>
        <w:tc>
          <w:tcPr>
            <w:tcW w:w="145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Електронні іменні</w:t>
            </w:r>
          </w:p>
        </w:tc>
        <w:tc>
          <w:tcPr>
            <w:tcW w:w="145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300</w:t>
            </w:r>
          </w:p>
        </w:tc>
        <w:tc>
          <w:tcPr>
            <w:tcW w:w="12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3 440</w:t>
            </w:r>
          </w:p>
        </w:tc>
        <w:tc>
          <w:tcPr>
            <w:tcW w:w="14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1 032 000</w:t>
            </w:r>
          </w:p>
        </w:tc>
        <w:tc>
          <w:tcPr>
            <w:tcW w:w="14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100</w:t>
            </w:r>
          </w:p>
        </w:tc>
      </w:tr>
      <w:tr w:rsidR="00000000" w:rsidRPr="00707CE2">
        <w:tblPrEx>
          <w:tblCellMar>
            <w:top w:w="0" w:type="dxa"/>
            <w:bottom w:w="0" w:type="dxa"/>
          </w:tblCellMar>
        </w:tblPrEx>
        <w:trPr>
          <w:trHeight w:val="200"/>
        </w:trPr>
        <w:tc>
          <w:tcPr>
            <w:tcW w:w="12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Опис</w:t>
            </w:r>
          </w:p>
        </w:tc>
        <w:tc>
          <w:tcPr>
            <w:tcW w:w="13850" w:type="dxa"/>
            <w:gridSpan w:val="9"/>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rPr>
            </w:pPr>
            <w:r w:rsidRPr="00707CE2">
              <w:rPr>
                <w:rFonts w:ascii="Times New Roman CYR" w:eastAsiaTheme="minorEastAsia" w:hAnsi="Times New Roman CYR" w:cs="Times New Roman CYR"/>
              </w:rPr>
              <w:t>В зв'язку зi змiною найменування товариства датою видачi свiдоцтва про реєстрацiю випуску акцiй рахується 24.06</w:t>
            </w:r>
            <w:r w:rsidRPr="00707CE2">
              <w:rPr>
                <w:rFonts w:ascii="Times New Roman CYR" w:eastAsiaTheme="minorEastAsia" w:hAnsi="Times New Roman CYR" w:cs="Times New Roman CYR"/>
              </w:rPr>
              <w:t>.2011р.  Цiннi папери товариства не беруть участi в органiзованих ринках, Фактiв лiстингу/делiстингу цiнних паперiв емiтента на фондових бiржах у звiтному роцi не було.</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rPr>
            </w:pPr>
            <w:r w:rsidRPr="00707CE2">
              <w:rPr>
                <w:rFonts w:ascii="Times New Roman CYR" w:eastAsiaTheme="minorEastAsia" w:hAnsi="Times New Roman CYR" w:cs="Times New Roman CYR"/>
              </w:rPr>
              <w:t>ТОРГIВЛЯ ЦIННИМИ ПАПЕРАМИ ЕМIТЕНТА НА БIРЖАХ ТА IНШИХ ОРГАНIЗОВАНИХ РИНКАХ НЕ ЗДIЙСНЮВА</w:t>
            </w:r>
            <w:r w:rsidRPr="00707CE2">
              <w:rPr>
                <w:rFonts w:ascii="Times New Roman CYR" w:eastAsiaTheme="minorEastAsia" w:hAnsi="Times New Roman CYR" w:cs="Times New Roman CYR"/>
              </w:rPr>
              <w:t>ЛАСЬ. ПОДАНИХ ЗАЯВ ДЛЯ ДОПУСКУ НА БIРЖI (ОРГАНIЗОВАНI РИНКИ) НЕ БУЛО.</w:t>
            </w:r>
          </w:p>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rPr>
            </w:pPr>
          </w:p>
        </w:tc>
      </w:tr>
    </w:tbl>
    <w:p w:rsidR="00000000" w:rsidRDefault="00707CE2">
      <w:pPr>
        <w:widowControl w:val="0"/>
        <w:autoSpaceDE w:val="0"/>
        <w:autoSpaceDN w:val="0"/>
        <w:adjustRightInd w:val="0"/>
        <w:spacing w:after="0" w:line="240" w:lineRule="auto"/>
        <w:rPr>
          <w:rFonts w:ascii="Times New Roman CYR" w:hAnsi="Times New Roman CYR" w:cs="Times New Roman CYR"/>
        </w:rPr>
      </w:pPr>
    </w:p>
    <w:p w:rsidR="00000000" w:rsidRDefault="00707CE2">
      <w:pPr>
        <w:widowControl w:val="0"/>
        <w:autoSpaceDE w:val="0"/>
        <w:autoSpaceDN w:val="0"/>
        <w:adjustRightInd w:val="0"/>
        <w:spacing w:after="0" w:line="240" w:lineRule="auto"/>
        <w:rPr>
          <w:rFonts w:ascii="Times New Roman CYR" w:hAnsi="Times New Roman CYR" w:cs="Times New Roman CYR"/>
        </w:rPr>
        <w:sectPr w:rsidR="00000000">
          <w:pgSz w:w="16838" w:h="11906" w:orient="landscape"/>
          <w:pgMar w:top="850" w:right="850" w:bottom="850" w:left="1400" w:header="720" w:footer="720" w:gutter="0"/>
          <w:cols w:space="720"/>
          <w:noEndnote/>
        </w:sect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8. Інформація про наявність у власності працівників емітента акцій у розмірі понад 0,1 відсотка розміру статутного капіталу емітента</w:t>
      </w: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p>
    <w:tbl>
      <w:tblPr>
        <w:tblW w:w="0" w:type="auto"/>
        <w:tblInd w:w="-354" w:type="dxa"/>
        <w:tblBorders>
          <w:top w:val="single" w:sz="6" w:space="0" w:color="auto"/>
          <w:left w:val="single" w:sz="6" w:space="0" w:color="auto"/>
          <w:bottom w:val="single" w:sz="6" w:space="0" w:color="auto"/>
          <w:right w:val="single" w:sz="6" w:space="0" w:color="auto"/>
        </w:tblBorders>
        <w:tblLayout w:type="fixed"/>
        <w:tblLook w:val="0000"/>
      </w:tblPr>
      <w:tblGrid>
        <w:gridCol w:w="5962"/>
        <w:gridCol w:w="2500"/>
        <w:gridCol w:w="1500"/>
        <w:gridCol w:w="2500"/>
        <w:gridCol w:w="2621"/>
      </w:tblGrid>
      <w:tr w:rsidR="00000000" w:rsidRPr="00707CE2">
        <w:tblPrEx>
          <w:tblCellMar>
            <w:top w:w="0" w:type="dxa"/>
            <w:bottom w:w="0" w:type="dxa"/>
          </w:tblCellMar>
        </w:tblPrEx>
        <w:trPr>
          <w:trHeight w:val="300"/>
        </w:trPr>
        <w:tc>
          <w:tcPr>
            <w:tcW w:w="5962" w:type="dxa"/>
            <w:vMerge w:val="restart"/>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Прізвище, ім'я, по батькові фізич</w:t>
            </w:r>
            <w:r w:rsidRPr="00707CE2">
              <w:rPr>
                <w:rFonts w:ascii="Times New Roman CYR" w:eastAsiaTheme="minorEastAsia" w:hAnsi="Times New Roman CYR" w:cs="Times New Roman CYR"/>
                <w:b/>
                <w:bCs/>
                <w:sz w:val="20"/>
                <w:szCs w:val="20"/>
              </w:rPr>
              <w:t>ної особи</w:t>
            </w:r>
          </w:p>
        </w:tc>
        <w:tc>
          <w:tcPr>
            <w:tcW w:w="2500" w:type="dxa"/>
            <w:vMerge w:val="restart"/>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Кількість цінних паперів (шт.)</w:t>
            </w:r>
          </w:p>
        </w:tc>
        <w:tc>
          <w:tcPr>
            <w:tcW w:w="1500" w:type="dxa"/>
            <w:vMerge w:val="restart"/>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Від загальної кількості акцій (у відсотках)</w:t>
            </w:r>
          </w:p>
        </w:tc>
        <w:tc>
          <w:tcPr>
            <w:tcW w:w="5121"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Кількість за типами акцій</w:t>
            </w:r>
          </w:p>
        </w:tc>
      </w:tr>
      <w:tr w:rsidR="00000000" w:rsidRPr="00707CE2">
        <w:tblPrEx>
          <w:tblCellMar>
            <w:top w:w="0" w:type="dxa"/>
            <w:bottom w:w="0" w:type="dxa"/>
          </w:tblCellMar>
        </w:tblPrEx>
        <w:trPr>
          <w:trHeight w:val="300"/>
        </w:trPr>
        <w:tc>
          <w:tcPr>
            <w:tcW w:w="5962" w:type="dxa"/>
            <w:vMerge/>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p>
        </w:tc>
        <w:tc>
          <w:tcPr>
            <w:tcW w:w="2500" w:type="dxa"/>
            <w:vMerge/>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p>
        </w:tc>
        <w:tc>
          <w:tcPr>
            <w:tcW w:w="1500" w:type="dxa"/>
            <w:vMerge/>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прості іменні</w:t>
            </w:r>
          </w:p>
        </w:tc>
        <w:tc>
          <w:tcPr>
            <w:tcW w:w="2621"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привілейовані іменні</w:t>
            </w:r>
          </w:p>
        </w:tc>
      </w:tr>
      <w:tr w:rsidR="00000000" w:rsidRPr="00707CE2">
        <w:tblPrEx>
          <w:tblCellMar>
            <w:top w:w="0" w:type="dxa"/>
            <w:bottom w:w="0" w:type="dxa"/>
          </w:tblCellMar>
        </w:tblPrEx>
        <w:trPr>
          <w:trHeight w:val="300"/>
        </w:trPr>
        <w:tc>
          <w:tcPr>
            <w:tcW w:w="5962"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1</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2</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3</w:t>
            </w:r>
          </w:p>
        </w:tc>
        <w:tc>
          <w:tcPr>
            <w:tcW w:w="2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4</w:t>
            </w:r>
          </w:p>
        </w:tc>
        <w:tc>
          <w:tcPr>
            <w:tcW w:w="2621"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5</w:t>
            </w:r>
          </w:p>
        </w:tc>
      </w:tr>
      <w:tr w:rsidR="00000000" w:rsidRPr="00707CE2">
        <w:tblPrEx>
          <w:tblCellMar>
            <w:top w:w="0" w:type="dxa"/>
            <w:bottom w:w="0" w:type="dxa"/>
          </w:tblCellMar>
        </w:tblPrEx>
        <w:trPr>
          <w:trHeight w:val="300"/>
        </w:trPr>
        <w:tc>
          <w:tcPr>
            <w:tcW w:w="5962"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Войтанiк В.О.</w:t>
            </w:r>
          </w:p>
        </w:tc>
        <w:tc>
          <w:tcPr>
            <w:tcW w:w="25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1 790</w:t>
            </w:r>
          </w:p>
        </w:tc>
        <w:tc>
          <w:tcPr>
            <w:tcW w:w="15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52,0349</w:t>
            </w:r>
          </w:p>
        </w:tc>
        <w:tc>
          <w:tcPr>
            <w:tcW w:w="25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1 790</w:t>
            </w:r>
          </w:p>
        </w:tc>
        <w:tc>
          <w:tcPr>
            <w:tcW w:w="2621"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0</w:t>
            </w:r>
          </w:p>
        </w:tc>
      </w:tr>
      <w:tr w:rsidR="00000000" w:rsidRPr="00707CE2">
        <w:tblPrEx>
          <w:tblCellMar>
            <w:top w:w="0" w:type="dxa"/>
            <w:bottom w:w="0" w:type="dxa"/>
          </w:tblCellMar>
        </w:tblPrEx>
        <w:trPr>
          <w:trHeight w:val="300"/>
        </w:trPr>
        <w:tc>
          <w:tcPr>
            <w:tcW w:w="5962"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Войтанiк Л.В.</w:t>
            </w:r>
          </w:p>
        </w:tc>
        <w:tc>
          <w:tcPr>
            <w:tcW w:w="25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418</w:t>
            </w:r>
          </w:p>
        </w:tc>
        <w:tc>
          <w:tcPr>
            <w:tcW w:w="15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12,1512</w:t>
            </w:r>
          </w:p>
        </w:tc>
        <w:tc>
          <w:tcPr>
            <w:tcW w:w="25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418</w:t>
            </w:r>
          </w:p>
        </w:tc>
        <w:tc>
          <w:tcPr>
            <w:tcW w:w="2621"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0</w:t>
            </w:r>
          </w:p>
        </w:tc>
      </w:tr>
      <w:tr w:rsidR="00000000" w:rsidRPr="00707CE2">
        <w:tblPrEx>
          <w:tblCellMar>
            <w:top w:w="0" w:type="dxa"/>
            <w:bottom w:w="0" w:type="dxa"/>
          </w:tblCellMar>
        </w:tblPrEx>
        <w:trPr>
          <w:trHeight w:val="300"/>
        </w:trPr>
        <w:tc>
          <w:tcPr>
            <w:tcW w:w="5962"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Усього</w:t>
            </w:r>
          </w:p>
        </w:tc>
        <w:tc>
          <w:tcPr>
            <w:tcW w:w="25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2 208</w:t>
            </w:r>
          </w:p>
        </w:tc>
        <w:tc>
          <w:tcPr>
            <w:tcW w:w="15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64,1861</w:t>
            </w:r>
          </w:p>
        </w:tc>
        <w:tc>
          <w:tcPr>
            <w:tcW w:w="25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2 208</w:t>
            </w:r>
          </w:p>
        </w:tc>
        <w:tc>
          <w:tcPr>
            <w:tcW w:w="2621"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0</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b/>
          <w:bCs/>
          <w:sz w:val="28"/>
          <w:szCs w:val="28"/>
        </w:rPr>
        <w:t>10. Інформація про загальну кількість голосуючих акцій та кількість голосуючих акцій, права голосу за якими обмежено, а також кількість голосуючих акцій, права голосу за якими за результатами обмеження таких прав передано іншій особі</w:t>
      </w:r>
    </w:p>
    <w:p w:rsidR="00000000" w:rsidRDefault="00707CE2">
      <w:pPr>
        <w:widowControl w:val="0"/>
        <w:autoSpaceDE w:val="0"/>
        <w:autoSpaceDN w:val="0"/>
        <w:adjustRightInd w:val="0"/>
        <w:spacing w:after="0" w:line="240" w:lineRule="auto"/>
        <w:jc w:val="center"/>
        <w:rPr>
          <w:rFonts w:ascii="Times New Roman CYR" w:hAnsi="Times New Roman CYR" w:cs="Times New Roman CYR"/>
          <w:sz w:val="28"/>
          <w:szCs w:val="28"/>
        </w:rPr>
      </w:pPr>
    </w:p>
    <w:tbl>
      <w:tblPr>
        <w:tblW w:w="0" w:type="auto"/>
        <w:tblInd w:w="-354" w:type="dxa"/>
        <w:tblBorders>
          <w:top w:val="single" w:sz="6" w:space="0" w:color="auto"/>
          <w:left w:val="single" w:sz="6" w:space="0" w:color="auto"/>
          <w:bottom w:val="single" w:sz="6" w:space="0" w:color="auto"/>
          <w:right w:val="single" w:sz="6" w:space="0" w:color="auto"/>
        </w:tblBorders>
        <w:tblLayout w:type="fixed"/>
        <w:tblLook w:val="0000"/>
      </w:tblPr>
      <w:tblGrid>
        <w:gridCol w:w="1462"/>
        <w:gridCol w:w="2000"/>
        <w:gridCol w:w="2000"/>
        <w:gridCol w:w="2000"/>
        <w:gridCol w:w="2100"/>
        <w:gridCol w:w="1500"/>
        <w:gridCol w:w="1500"/>
        <w:gridCol w:w="2521"/>
      </w:tblGrid>
      <w:tr w:rsidR="00000000" w:rsidRPr="00707CE2">
        <w:tblPrEx>
          <w:tblCellMar>
            <w:top w:w="0" w:type="dxa"/>
            <w:bottom w:w="0" w:type="dxa"/>
          </w:tblCellMar>
        </w:tblPrEx>
        <w:trPr>
          <w:trHeight w:val="300"/>
        </w:trPr>
        <w:tc>
          <w:tcPr>
            <w:tcW w:w="1462"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Дата реєстрації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Номер свідоцтва про реєстрацію випуску</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Міжнародний ідентифікаційний номер</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Кількість акцій у випуску (шт.)</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Загальна номінальна вартість (грн)</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Загальна кількість голосуючих акцій (шт.)</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Кількість голосуючих акцій, права голосу за якими обмежено (шт.)</w:t>
            </w:r>
          </w:p>
        </w:tc>
        <w:tc>
          <w:tcPr>
            <w:tcW w:w="2521"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 xml:space="preserve">Кількість голосуючих акцій, права голосу за якими за результатами обмеження таких прав передано іншій особі (шт.) </w:t>
            </w:r>
          </w:p>
        </w:tc>
      </w:tr>
      <w:tr w:rsidR="00000000" w:rsidRPr="00707CE2">
        <w:tblPrEx>
          <w:tblCellMar>
            <w:top w:w="0" w:type="dxa"/>
            <w:bottom w:w="0" w:type="dxa"/>
          </w:tblCellMar>
        </w:tblPrEx>
        <w:trPr>
          <w:trHeight w:val="300"/>
        </w:trPr>
        <w:tc>
          <w:tcPr>
            <w:tcW w:w="1462"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1</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2</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3</w:t>
            </w:r>
          </w:p>
        </w:tc>
        <w:tc>
          <w:tcPr>
            <w:tcW w:w="20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4</w:t>
            </w:r>
          </w:p>
        </w:tc>
        <w:tc>
          <w:tcPr>
            <w:tcW w:w="21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5</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6</w:t>
            </w:r>
          </w:p>
        </w:tc>
        <w:tc>
          <w:tcPr>
            <w:tcW w:w="150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7</w:t>
            </w:r>
          </w:p>
        </w:tc>
        <w:tc>
          <w:tcPr>
            <w:tcW w:w="2521"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8</w:t>
            </w:r>
          </w:p>
        </w:tc>
      </w:tr>
      <w:tr w:rsidR="00000000" w:rsidRPr="00707CE2">
        <w:tblPrEx>
          <w:tblCellMar>
            <w:top w:w="0" w:type="dxa"/>
            <w:bottom w:w="0" w:type="dxa"/>
          </w:tblCellMar>
        </w:tblPrEx>
        <w:trPr>
          <w:trHeight w:val="300"/>
        </w:trPr>
        <w:tc>
          <w:tcPr>
            <w:tcW w:w="1462"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29.10.2010</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39/03/1/10</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UA4000095566</w:t>
            </w:r>
          </w:p>
        </w:tc>
        <w:tc>
          <w:tcPr>
            <w:tcW w:w="2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3 440</w:t>
            </w:r>
          </w:p>
        </w:tc>
        <w:tc>
          <w:tcPr>
            <w:tcW w:w="21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300</w:t>
            </w:r>
          </w:p>
        </w:tc>
        <w:tc>
          <w:tcPr>
            <w:tcW w:w="15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3 161</w:t>
            </w:r>
          </w:p>
        </w:tc>
        <w:tc>
          <w:tcPr>
            <w:tcW w:w="15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0</w:t>
            </w:r>
          </w:p>
        </w:tc>
        <w:tc>
          <w:tcPr>
            <w:tcW w:w="2521"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0</w:t>
            </w:r>
          </w:p>
        </w:tc>
      </w:tr>
      <w:tr w:rsidR="00000000" w:rsidRPr="00707CE2">
        <w:tblPrEx>
          <w:tblCellMar>
            <w:top w:w="0" w:type="dxa"/>
            <w:bottom w:w="0" w:type="dxa"/>
          </w:tblCellMar>
        </w:tblPrEx>
        <w:trPr>
          <w:trHeight w:val="300"/>
        </w:trPr>
        <w:tc>
          <w:tcPr>
            <w:tcW w:w="15083" w:type="dxa"/>
            <w:gridSpan w:val="8"/>
            <w:tcBorders>
              <w:top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sz w:val="20"/>
                <w:szCs w:val="20"/>
              </w:rPr>
            </w:pPr>
            <w:r w:rsidRPr="00707CE2">
              <w:rPr>
                <w:rFonts w:ascii="Times New Roman CYR" w:eastAsiaTheme="minorEastAsia" w:hAnsi="Times New Roman CYR" w:cs="Times New Roman CYR"/>
                <w:b/>
                <w:bCs/>
                <w:sz w:val="20"/>
                <w:szCs w:val="20"/>
              </w:rPr>
              <w:t>Опис:</w:t>
            </w:r>
          </w:p>
        </w:tc>
      </w:tr>
      <w:tr w:rsidR="00000000" w:rsidRPr="00707CE2">
        <w:tblPrEx>
          <w:tblCellMar>
            <w:top w:w="0" w:type="dxa"/>
            <w:bottom w:w="0" w:type="dxa"/>
          </w:tblCellMar>
        </w:tblPrEx>
        <w:trPr>
          <w:trHeight w:val="300"/>
        </w:trPr>
        <w:tc>
          <w:tcPr>
            <w:tcW w:w="15083" w:type="dxa"/>
            <w:gridSpan w:val="8"/>
            <w:tcBorders>
              <w:top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sz w:val="20"/>
                <w:szCs w:val="20"/>
              </w:rPr>
            </w:pPr>
            <w:r w:rsidRPr="00707CE2">
              <w:rPr>
                <w:rFonts w:ascii="Times New Roman CYR" w:eastAsiaTheme="minorEastAsia" w:hAnsi="Times New Roman CYR" w:cs="Times New Roman CYR"/>
                <w:sz w:val="20"/>
                <w:szCs w:val="20"/>
              </w:rPr>
              <w:t>Обмеження права голосу за голосуючими акцiями вiдсутнє. Передачi права голосу за голосуючими акцiями не вiдбувалось.</w:t>
            </w:r>
          </w:p>
        </w:tc>
      </w:tr>
    </w:tbl>
    <w:p w:rsidR="00000000" w:rsidRDefault="00707CE2">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707CE2">
      <w:pPr>
        <w:widowControl w:val="0"/>
        <w:autoSpaceDE w:val="0"/>
        <w:autoSpaceDN w:val="0"/>
        <w:adjustRightInd w:val="0"/>
        <w:spacing w:after="0" w:line="240" w:lineRule="auto"/>
        <w:rPr>
          <w:rFonts w:ascii="Times New Roman CYR" w:hAnsi="Times New Roman CYR" w:cs="Times New Roman CYR"/>
          <w:sz w:val="20"/>
          <w:szCs w:val="20"/>
        </w:rPr>
        <w:sectPr w:rsidR="00000000">
          <w:pgSz w:w="16838" w:h="11906" w:orient="landscape"/>
          <w:pgMar w:top="850" w:right="850" w:bottom="850" w:left="1400" w:header="720" w:footer="720" w:gutter="0"/>
          <w:cols w:space="720"/>
          <w:noEndnote/>
        </w:sectPr>
      </w:pPr>
    </w:p>
    <w:p w:rsidR="00000000" w:rsidRDefault="00707CE2">
      <w:pPr>
        <w:widowControl w:val="0"/>
        <w:autoSpaceDE w:val="0"/>
        <w:autoSpaceDN w:val="0"/>
        <w:adjustRightInd w:val="0"/>
        <w:spacing w:after="0" w:line="240" w:lineRule="auto"/>
        <w:rPr>
          <w:rFonts w:ascii="Times New Roman CYR" w:hAnsi="Times New Roman CYR" w:cs="Times New Roman CYR"/>
          <w:sz w:val="20"/>
          <w:szCs w:val="20"/>
        </w:r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XIII. Інформація про господарську та фінансову діяльність емітента</w:t>
      </w: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 Інформація про основні засоби емітента (за залишковою вартістю)</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058"/>
        <w:gridCol w:w="1260"/>
        <w:gridCol w:w="1080"/>
        <w:gridCol w:w="1260"/>
        <w:gridCol w:w="1080"/>
        <w:gridCol w:w="1260"/>
        <w:gridCol w:w="1082"/>
      </w:tblGrid>
      <w:tr w:rsidR="00000000" w:rsidRPr="00707CE2">
        <w:tblPrEx>
          <w:tblCellMar>
            <w:top w:w="0" w:type="dxa"/>
            <w:bottom w:w="0" w:type="dxa"/>
          </w:tblCellMar>
        </w:tblPrEx>
        <w:trPr>
          <w:trHeight w:val="200"/>
        </w:trPr>
        <w:tc>
          <w:tcPr>
            <w:tcW w:w="3058" w:type="dxa"/>
            <w:vMerge w:val="restart"/>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Найменування основних засобів</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Власні основні засоби (тис. грн)</w:t>
            </w:r>
          </w:p>
        </w:tc>
        <w:tc>
          <w:tcPr>
            <w:tcW w:w="2340"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Орендовані основні засоби (тис. грн)</w:t>
            </w:r>
          </w:p>
        </w:tc>
        <w:tc>
          <w:tcPr>
            <w:tcW w:w="2342"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Основні засоби, усього (тис. грн)</w:t>
            </w:r>
          </w:p>
        </w:tc>
      </w:tr>
      <w:tr w:rsidR="00000000" w:rsidRPr="00707CE2">
        <w:tblPrEx>
          <w:tblCellMar>
            <w:top w:w="0" w:type="dxa"/>
            <w:bottom w:w="0" w:type="dxa"/>
          </w:tblCellMar>
        </w:tblPrEx>
        <w:trPr>
          <w:trHeight w:val="200"/>
        </w:trPr>
        <w:tc>
          <w:tcPr>
            <w:tcW w:w="3058" w:type="dxa"/>
            <w:vMerge/>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на початок періоду</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на кінець періоду</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на початок періоду</w:t>
            </w:r>
          </w:p>
        </w:tc>
        <w:tc>
          <w:tcPr>
            <w:tcW w:w="108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на кінець періоду</w:t>
            </w:r>
          </w:p>
        </w:tc>
      </w:tr>
      <w:tr w:rsidR="00000000" w:rsidRPr="00707CE2">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1. 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2. Невиробничого призначення: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1 387</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1 164,6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1 387</w:t>
            </w:r>
          </w:p>
        </w:tc>
        <w:tc>
          <w:tcPr>
            <w:tcW w:w="108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1 164,6</w:t>
            </w:r>
          </w:p>
        </w:tc>
      </w:tr>
      <w:tr w:rsidR="00000000" w:rsidRPr="00707CE2">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будівлі та споруди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576</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483,6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576</w:t>
            </w:r>
          </w:p>
        </w:tc>
        <w:tc>
          <w:tcPr>
            <w:tcW w:w="108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483,6</w:t>
            </w:r>
          </w:p>
        </w:tc>
      </w:tr>
      <w:tr w:rsidR="00000000" w:rsidRPr="00707CE2">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машини та обладнання</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293</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246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293</w:t>
            </w:r>
          </w:p>
        </w:tc>
        <w:tc>
          <w:tcPr>
            <w:tcW w:w="108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246</w:t>
            </w:r>
          </w:p>
        </w:tc>
      </w:tr>
      <w:tr w:rsidR="00000000" w:rsidRPr="00707CE2">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транспортні засоби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92,8</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78</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92,8</w:t>
            </w:r>
          </w:p>
        </w:tc>
        <w:tc>
          <w:tcPr>
            <w:tcW w:w="108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78</w:t>
            </w:r>
          </w:p>
        </w:tc>
      </w:tr>
      <w:tr w:rsidR="00000000" w:rsidRPr="00707CE2">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земельні ділянки</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425,2</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357</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425,2</w:t>
            </w:r>
          </w:p>
        </w:tc>
        <w:tc>
          <w:tcPr>
            <w:tcW w:w="108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357</w:t>
            </w:r>
          </w:p>
        </w:tc>
      </w:tr>
      <w:tr w:rsidR="00000000" w:rsidRPr="00707CE2">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інвестиційна нерухомість</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інші</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Усього</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1 387</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1 164,6</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0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2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1 387</w:t>
            </w:r>
          </w:p>
        </w:tc>
        <w:tc>
          <w:tcPr>
            <w:tcW w:w="1082"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1 164,6</w:t>
            </w:r>
          </w:p>
        </w:tc>
      </w:tr>
      <w:tr w:rsidR="00000000" w:rsidRPr="00707CE2">
        <w:tblPrEx>
          <w:tblCellMar>
            <w:top w:w="0" w:type="dxa"/>
            <w:bottom w:w="0" w:type="dxa"/>
          </w:tblCellMar>
        </w:tblPrEx>
        <w:trPr>
          <w:trHeight w:val="200"/>
        </w:trPr>
        <w:tc>
          <w:tcPr>
            <w:tcW w:w="3058"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Опис</w:t>
            </w:r>
          </w:p>
        </w:tc>
        <w:tc>
          <w:tcPr>
            <w:tcW w:w="7022" w:type="dxa"/>
            <w:gridSpan w:val="6"/>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rPr>
            </w:pPr>
            <w:r w:rsidRPr="00707CE2">
              <w:rPr>
                <w:rFonts w:ascii="Times New Roman CYR" w:eastAsiaTheme="minorEastAsia" w:hAnsi="Times New Roman CYR" w:cs="Times New Roman CYR"/>
              </w:rPr>
              <w:t>Мiсце розташування основних засобiв за мiсцем знаходженням товариства. Використання основних засобiв здiйснюється за їх цiльовим призначенням. Ступiнь та умови користування майна - користування майном вiдбувається за потребами господарської дiяльностi това</w:t>
            </w:r>
            <w:r w:rsidRPr="00707CE2">
              <w:rPr>
                <w:rFonts w:ascii="Times New Roman CYR" w:eastAsiaTheme="minorEastAsia" w:hAnsi="Times New Roman CYR" w:cs="Times New Roman CYR"/>
              </w:rPr>
              <w:t>риства. Термiни користування основними засобами: будiвлями i спорудами в середньому 50 рокiв, машинами i обладнаннями - 40 рокiв, iншими - 10 рокiв. Основними засобами товариство користується на таких умовах: використання засобiв здiйснюється за їх цiльови</w:t>
            </w:r>
            <w:r w:rsidRPr="00707CE2">
              <w:rPr>
                <w:rFonts w:ascii="Times New Roman CYR" w:eastAsiaTheme="minorEastAsia" w:hAnsi="Times New Roman CYR" w:cs="Times New Roman CYR"/>
              </w:rPr>
              <w:t>м призначенням для здiйснення виробничої дiяльностi товариства. Основних засобiв виробничого призначення та орендованих основних засобiв емiтент немає. Первiсна вартiсть основних засобiв на кiнець звiтного перiоду складає 3571,3 тис.грн. Ступiнь зносу осно</w:t>
            </w:r>
            <w:r w:rsidRPr="00707CE2">
              <w:rPr>
                <w:rFonts w:ascii="Times New Roman CYR" w:eastAsiaTheme="minorEastAsia" w:hAnsi="Times New Roman CYR" w:cs="Times New Roman CYR"/>
              </w:rPr>
              <w:t xml:space="preserve">вних засобiв - 67,39 %. Ступiнь використання основних засобiв - 95 %. Сума нарахованого зносу - 2406,7 тис. грн. Суттєвих змiн у вартостi основних засобiв протягом звiтного року не спостерiгалося. Обмежень на використання майна емiтента немає. </w:t>
            </w:r>
          </w:p>
        </w:tc>
      </w:tr>
    </w:tbl>
    <w:p w:rsidR="00000000" w:rsidRDefault="00707CE2">
      <w:pPr>
        <w:widowControl w:val="0"/>
        <w:autoSpaceDE w:val="0"/>
        <w:autoSpaceDN w:val="0"/>
        <w:adjustRightInd w:val="0"/>
        <w:spacing w:after="0" w:line="240" w:lineRule="auto"/>
        <w:rPr>
          <w:rFonts w:ascii="Times New Roman CYR" w:hAnsi="Times New Roman CYR" w:cs="Times New Roman CYR"/>
        </w:r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2. Інформація щодо вартості чистих активів емітента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1260"/>
        <w:gridCol w:w="2740"/>
        <w:gridCol w:w="3000"/>
        <w:gridCol w:w="3000"/>
      </w:tblGrid>
      <w:tr w:rsidR="00000000" w:rsidRPr="00707CE2">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Найменування показника</w:t>
            </w:r>
          </w:p>
        </w:tc>
        <w:tc>
          <w:tcPr>
            <w:tcW w:w="3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За звітний період</w:t>
            </w:r>
          </w:p>
        </w:tc>
        <w:tc>
          <w:tcPr>
            <w:tcW w:w="3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За попередній період</w:t>
            </w:r>
          </w:p>
        </w:tc>
      </w:tr>
      <w:tr w:rsidR="00000000" w:rsidRPr="00707CE2">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Розрахункова вартість чистих активів (тис.грн)</w:t>
            </w:r>
          </w:p>
        </w:tc>
        <w:tc>
          <w:tcPr>
            <w:tcW w:w="3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1 664,3</w:t>
            </w:r>
          </w:p>
        </w:tc>
        <w:tc>
          <w:tcPr>
            <w:tcW w:w="3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2 046,1</w:t>
            </w:r>
          </w:p>
        </w:tc>
      </w:tr>
      <w:tr w:rsidR="00000000" w:rsidRPr="00707CE2">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1 032</w:t>
            </w:r>
          </w:p>
        </w:tc>
        <w:tc>
          <w:tcPr>
            <w:tcW w:w="3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1 032</w:t>
            </w:r>
          </w:p>
        </w:tc>
      </w:tr>
      <w:tr w:rsidR="00000000" w:rsidRPr="00707CE2">
        <w:tblPrEx>
          <w:tblCellMar>
            <w:top w:w="0" w:type="dxa"/>
            <w:bottom w:w="0" w:type="dxa"/>
          </w:tblCellMar>
        </w:tblPrEx>
        <w:trPr>
          <w:trHeight w:val="200"/>
        </w:trPr>
        <w:tc>
          <w:tcPr>
            <w:tcW w:w="4000" w:type="dxa"/>
            <w:gridSpan w:val="2"/>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Скоригований статутний капітал (тис.грн)</w:t>
            </w:r>
          </w:p>
        </w:tc>
        <w:tc>
          <w:tcPr>
            <w:tcW w:w="300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1 032</w:t>
            </w:r>
          </w:p>
        </w:tc>
        <w:tc>
          <w:tcPr>
            <w:tcW w:w="3000"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1 032</w:t>
            </w:r>
          </w:p>
        </w:tc>
      </w:tr>
      <w:tr w:rsidR="00000000" w:rsidRPr="00707CE2">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Опис</w:t>
            </w:r>
          </w:p>
        </w:tc>
        <w:tc>
          <w:tcPr>
            <w:tcW w:w="8740" w:type="dxa"/>
            <w:gridSpan w:val="3"/>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Розрахунок вартостi </w:t>
            </w:r>
            <w:r w:rsidRPr="00707CE2">
              <w:rPr>
                <w:rFonts w:ascii="Times New Roman CYR" w:eastAsiaTheme="minorEastAsia" w:hAnsi="Times New Roman CYR" w:cs="Times New Roman CYR"/>
              </w:rPr>
              <w:t>чистих активiв вiдбувався вiдповiдно до методичних рекомендацiй ДКЦПФР (Рiшення №485 вiд 17.11.2004р.) та Положення (стандарт) бухгалтерського облiку  2 "Баланс", затвердженого Наказом Мiнiстерства фiнансiв України вiд 31.03.99р. №87. Визначення вартостi ч</w:t>
            </w:r>
            <w:r w:rsidRPr="00707CE2">
              <w:rPr>
                <w:rFonts w:ascii="Times New Roman CYR" w:eastAsiaTheme="minorEastAsia" w:hAnsi="Times New Roman CYR" w:cs="Times New Roman CYR"/>
              </w:rPr>
              <w:t xml:space="preserve">истих активiв проводилось за формулою:   Чистi активи = Необоротнi активи + Оборотнi активи + Витрати майбутнiх перiодiв - Довгостроковi зобов'язання - Поточнi зобов'язання - Забезпечення наступних виплат i платежiв - Доходи </w:t>
            </w:r>
            <w:r w:rsidRPr="00707CE2">
              <w:rPr>
                <w:rFonts w:ascii="Times New Roman CYR" w:eastAsiaTheme="minorEastAsia" w:hAnsi="Times New Roman CYR" w:cs="Times New Roman CYR"/>
              </w:rPr>
              <w:lastRenderedPageBreak/>
              <w:t xml:space="preserve">майбутнiх перiодiв. </w:t>
            </w:r>
          </w:p>
        </w:tc>
      </w:tr>
      <w:tr w:rsidR="00000000" w:rsidRPr="00707CE2">
        <w:tblPrEx>
          <w:tblCellMar>
            <w:top w:w="0" w:type="dxa"/>
            <w:bottom w:w="0" w:type="dxa"/>
          </w:tblCellMar>
        </w:tblPrEx>
        <w:trPr>
          <w:trHeight w:val="200"/>
        </w:trPr>
        <w:tc>
          <w:tcPr>
            <w:tcW w:w="126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lastRenderedPageBreak/>
              <w:t>Висновок</w:t>
            </w:r>
          </w:p>
        </w:tc>
        <w:tc>
          <w:tcPr>
            <w:tcW w:w="8740" w:type="dxa"/>
            <w:gridSpan w:val="3"/>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rPr>
            </w:pPr>
            <w:r w:rsidRPr="00707CE2">
              <w:rPr>
                <w:rFonts w:ascii="Times New Roman CYR" w:eastAsiaTheme="minorEastAsia" w:hAnsi="Times New Roman CYR" w:cs="Times New Roman CYR"/>
              </w:rPr>
              <w:t>Розрахункова вартiсть чистих активiв  перевищує  розмiр  скоригованого статутного капiталу.  Пiдстави для зменшення розмiру статутного капiталу, передбаченi ст.16 ЗУ "Про акцiонернi товариства" вiдсутнi.</w:t>
            </w:r>
          </w:p>
        </w:tc>
      </w:tr>
    </w:tbl>
    <w:p w:rsidR="00000000" w:rsidRDefault="00707CE2">
      <w:pPr>
        <w:widowControl w:val="0"/>
        <w:autoSpaceDE w:val="0"/>
        <w:autoSpaceDN w:val="0"/>
        <w:adjustRightInd w:val="0"/>
        <w:spacing w:after="0" w:line="240" w:lineRule="auto"/>
        <w:rPr>
          <w:rFonts w:ascii="Times New Roman CYR" w:hAnsi="Times New Roman CYR" w:cs="Times New Roman CYR"/>
        </w:r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3. Інформація про зобов'язання та забезпечення емі</w:t>
      </w:r>
      <w:r>
        <w:rPr>
          <w:rFonts w:ascii="Times New Roman CYR" w:hAnsi="Times New Roman CYR" w:cs="Times New Roman CYR"/>
          <w:b/>
          <w:bCs/>
          <w:sz w:val="28"/>
          <w:szCs w:val="28"/>
        </w:rPr>
        <w:t>тента</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3780"/>
        <w:gridCol w:w="1440"/>
        <w:gridCol w:w="1480"/>
        <w:gridCol w:w="1940"/>
        <w:gridCol w:w="1328"/>
      </w:tblGrid>
      <w:tr w:rsidR="00000000" w:rsidRPr="00707CE2">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Види зобов’язань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Дата виникнення</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Непогашена частина боргу (тис. грн)</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Відсоток за користування коштами (відсоток річних)</w:t>
            </w:r>
          </w:p>
        </w:tc>
        <w:tc>
          <w:tcPr>
            <w:tcW w:w="1328"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Дата погашення</w:t>
            </w:r>
          </w:p>
        </w:tc>
      </w:tr>
      <w:tr w:rsidR="00000000" w:rsidRPr="00707CE2">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Кредити банку</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r>
      <w:tr w:rsidR="00000000" w:rsidRPr="00707CE2">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r>
      <w:tr w:rsidR="00000000" w:rsidRPr="00707CE2">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144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328"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r>
      <w:tr w:rsidR="00000000" w:rsidRPr="00707CE2">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Зобов’язання за цінними паперами</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r>
      <w:tr w:rsidR="00000000" w:rsidRPr="00707CE2">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у тому числі:</w:t>
            </w:r>
          </w:p>
        </w:tc>
        <w:tc>
          <w:tcPr>
            <w:tcW w:w="6188" w:type="dxa"/>
            <w:gridSpan w:val="4"/>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r>
      <w:tr w:rsidR="00000000" w:rsidRPr="00707CE2">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за облігаціями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r>
      <w:tr w:rsidR="00000000" w:rsidRPr="00707CE2">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144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328"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r>
      <w:tr w:rsidR="00000000" w:rsidRPr="00707CE2">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за іпотечними цінними паперами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r>
      <w:tr w:rsidR="00000000" w:rsidRPr="00707CE2">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144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328"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r>
      <w:tr w:rsidR="00000000" w:rsidRPr="00707CE2">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за сертифікатами ФОН (за кожним власним випуском):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r>
      <w:tr w:rsidR="00000000" w:rsidRPr="00707CE2">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144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328"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r>
      <w:tr w:rsidR="00000000" w:rsidRPr="00707CE2">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за векселями (всього)</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r>
      <w:tr w:rsidR="00000000" w:rsidRPr="00707CE2">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за іншими цінними паперами (у тому числі за похідними цінними паперами)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r>
      <w:tr w:rsidR="00000000" w:rsidRPr="00707CE2">
        <w:tblPrEx>
          <w:tblCellMar>
            <w:top w:w="0" w:type="dxa"/>
            <w:bottom w:w="0" w:type="dxa"/>
          </w:tblCellMar>
        </w:tblPrEx>
        <w:trPr>
          <w:trHeight w:val="200"/>
        </w:trPr>
        <w:tc>
          <w:tcPr>
            <w:tcW w:w="378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144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328"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r>
      <w:tr w:rsidR="00000000" w:rsidRPr="00707CE2">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за фінансовими інвестиціями в корпоративні права (за кожним видом):</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r>
      <w:tr w:rsidR="00000000" w:rsidRPr="00707CE2">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144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148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328" w:type="dxa"/>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r>
      <w:tr w:rsidR="00000000" w:rsidRPr="00707CE2">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Податкові зобов'язання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90,1</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r>
      <w:tr w:rsidR="00000000" w:rsidRPr="00707CE2">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Фінансова допомога на зворотній основі</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r>
      <w:tr w:rsidR="00000000" w:rsidRPr="00707CE2">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Інші зобов'язання та забезпечення</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81,2</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r>
      <w:tr w:rsidR="00000000" w:rsidRPr="00707CE2">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Усього зобов'язань та забезпечень</w:t>
            </w:r>
          </w:p>
        </w:tc>
        <w:tc>
          <w:tcPr>
            <w:tcW w:w="14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48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171,3</w:t>
            </w:r>
          </w:p>
        </w:tc>
        <w:tc>
          <w:tcPr>
            <w:tcW w:w="194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c>
          <w:tcPr>
            <w:tcW w:w="1328"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X</w:t>
            </w:r>
          </w:p>
        </w:tc>
      </w:tr>
      <w:tr w:rsidR="00000000" w:rsidRPr="00707CE2">
        <w:tblPrEx>
          <w:tblCellMar>
            <w:top w:w="0" w:type="dxa"/>
            <w:bottom w:w="0" w:type="dxa"/>
          </w:tblCellMar>
        </w:tblPrEx>
        <w:trPr>
          <w:trHeight w:val="300"/>
        </w:trPr>
        <w:tc>
          <w:tcPr>
            <w:tcW w:w="3780" w:type="dxa"/>
            <w:tcBorders>
              <w:top w:val="single" w:sz="6" w:space="0" w:color="auto"/>
              <w:bottom w:val="single" w:sz="6" w:space="0" w:color="auto"/>
              <w:right w:val="single" w:sz="6" w:space="0" w:color="auto"/>
            </w:tcBorders>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Опис</w:t>
            </w:r>
          </w:p>
        </w:tc>
        <w:tc>
          <w:tcPr>
            <w:tcW w:w="6188" w:type="dxa"/>
            <w:gridSpan w:val="4"/>
            <w:tcBorders>
              <w:top w:val="single" w:sz="6" w:space="0" w:color="auto"/>
              <w:left w:val="single" w:sz="6" w:space="0" w:color="auto"/>
              <w:bottom w:val="single" w:sz="6" w:space="0" w:color="auto"/>
            </w:tcBorders>
          </w:tcPr>
          <w:p w:rsidR="00000000" w:rsidRPr="00707CE2" w:rsidRDefault="00707CE2">
            <w:pPr>
              <w:widowControl w:val="0"/>
              <w:autoSpaceDE w:val="0"/>
              <w:autoSpaceDN w:val="0"/>
              <w:adjustRightInd w:val="0"/>
              <w:spacing w:after="0" w:line="240" w:lineRule="auto"/>
              <w:jc w:val="both"/>
              <w:rPr>
                <w:rFonts w:ascii="Times New Roman CYR" w:eastAsiaTheme="minorEastAsia" w:hAnsi="Times New Roman CYR" w:cs="Times New Roman CYR"/>
              </w:rPr>
            </w:pPr>
            <w:r w:rsidRPr="00707CE2">
              <w:rPr>
                <w:rFonts w:ascii="Times New Roman CYR" w:eastAsiaTheme="minorEastAsia" w:hAnsi="Times New Roman CYR" w:cs="Times New Roman CYR"/>
              </w:rPr>
              <w:t>Емiтент зобов'язан</w:t>
            </w:r>
            <w:r w:rsidRPr="00707CE2">
              <w:rPr>
                <w:rFonts w:ascii="Times New Roman CYR" w:eastAsiaTheme="minorEastAsia" w:hAnsi="Times New Roman CYR" w:cs="Times New Roman CYR"/>
              </w:rPr>
              <w:t>ь за кредитами банку не має. Емiтент зобов'язань за облiгацiями не має. Емiтент зобов'язань за iпотечними цiнними паперами не має. Товариство зобов'язань за сертифiкатами ФОН не має. Емiтент зобов'язань за векселями не має. Емiтент зобов'язань за iншими цi</w:t>
            </w:r>
            <w:r w:rsidRPr="00707CE2">
              <w:rPr>
                <w:rFonts w:ascii="Times New Roman CYR" w:eastAsiaTheme="minorEastAsia" w:hAnsi="Times New Roman CYR" w:cs="Times New Roman CYR"/>
              </w:rPr>
              <w:t>нними паперами (у тому числi за похiдними цiнними паперами) не має. Емiтент зобов'язань за фiнансовими iнвестицiями в корпоративнi права не має.</w:t>
            </w:r>
          </w:p>
        </w:tc>
      </w:tr>
    </w:tbl>
    <w:p w:rsidR="00000000" w:rsidRDefault="00707CE2">
      <w:pPr>
        <w:widowControl w:val="0"/>
        <w:autoSpaceDE w:val="0"/>
        <w:autoSpaceDN w:val="0"/>
        <w:adjustRightInd w:val="0"/>
        <w:spacing w:after="0" w:line="240" w:lineRule="auto"/>
        <w:rPr>
          <w:rFonts w:ascii="Times New Roman CYR" w:hAnsi="Times New Roman CYR" w:cs="Times New Roman CYR"/>
        </w:rPr>
      </w:pP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Фінансова звітність</w:t>
      </w: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малого підприємництва</w:t>
      </w:r>
    </w:p>
    <w:tbl>
      <w:tblPr>
        <w:tblW w:w="0" w:type="auto"/>
        <w:tblInd w:w="108" w:type="dxa"/>
        <w:tblLayout w:type="fixed"/>
        <w:tblLook w:val="0000"/>
      </w:tblPr>
      <w:tblGrid>
        <w:gridCol w:w="2160"/>
        <w:gridCol w:w="4490"/>
        <w:gridCol w:w="1990"/>
        <w:gridCol w:w="1360"/>
      </w:tblGrid>
      <w:tr w:rsidR="00000000" w:rsidRPr="00707CE2">
        <w:tblPrEx>
          <w:tblCellMar>
            <w:top w:w="0" w:type="dxa"/>
            <w:bottom w:w="0" w:type="dxa"/>
          </w:tblCellMar>
        </w:tblPrEx>
        <w:trPr>
          <w:gridBefore w:val="3"/>
          <w:wBefore w:w="8640" w:type="dxa"/>
          <w:trHeight w:val="298"/>
        </w:trPr>
        <w:tc>
          <w:tcPr>
            <w:tcW w:w="13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КОДИ</w:t>
            </w:r>
          </w:p>
        </w:tc>
      </w:tr>
      <w:tr w:rsidR="00000000" w:rsidRPr="00707CE2">
        <w:tblPrEx>
          <w:tblCellMar>
            <w:top w:w="0" w:type="dxa"/>
            <w:bottom w:w="0" w:type="dxa"/>
          </w:tblCellMar>
        </w:tblPrEx>
        <w:trPr>
          <w:gridBefore w:val="2"/>
          <w:wBefore w:w="6650" w:type="dxa"/>
          <w:trHeight w:val="298"/>
        </w:trPr>
        <w:tc>
          <w:tcPr>
            <w:tcW w:w="1990" w:type="dxa"/>
            <w:tcBorders>
              <w:top w:val="nil"/>
              <w:left w:val="nil"/>
              <w:bottom w:val="nil"/>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lastRenderedPageBreak/>
              <w:t>Дата (рік, місяць, число)</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2023.01.01</w:t>
            </w:r>
          </w:p>
        </w:tc>
      </w:tr>
      <w:tr w:rsidR="00000000" w:rsidRPr="00707CE2">
        <w:tblPrEx>
          <w:tblCellMar>
            <w:top w:w="0" w:type="dxa"/>
            <w:bottom w:w="0" w:type="dxa"/>
          </w:tblCellMar>
        </w:tblPrEx>
        <w:tc>
          <w:tcPr>
            <w:tcW w:w="2160" w:type="dxa"/>
            <w:tcBorders>
              <w:top w:val="nil"/>
              <w:left w:val="nil"/>
              <w:bottom w:val="nil"/>
              <w:right w:val="nil"/>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Підприємство</w:t>
            </w:r>
          </w:p>
        </w:tc>
        <w:tc>
          <w:tcPr>
            <w:tcW w:w="4490" w:type="dxa"/>
            <w:vMerge w:val="restart"/>
            <w:tcBorders>
              <w:top w:val="nil"/>
              <w:left w:val="nil"/>
              <w:bottom w:val="nil"/>
              <w:right w:val="nil"/>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Приватне акцiонерне товариство "Волинська фiрма "Одяг</w:t>
            </w:r>
          </w:p>
        </w:tc>
        <w:tc>
          <w:tcPr>
            <w:tcW w:w="1990" w:type="dxa"/>
            <w:tcBorders>
              <w:top w:val="nil"/>
              <w:left w:val="nil"/>
              <w:bottom w:val="nil"/>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за ЄДРПОУ</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01554158</w:t>
            </w:r>
          </w:p>
        </w:tc>
      </w:tr>
      <w:tr w:rsidR="00000000" w:rsidRPr="00707CE2">
        <w:tblPrEx>
          <w:tblCellMar>
            <w:top w:w="0" w:type="dxa"/>
            <w:bottom w:w="0" w:type="dxa"/>
          </w:tblCellMar>
        </w:tblPrEx>
        <w:tc>
          <w:tcPr>
            <w:tcW w:w="2160" w:type="dxa"/>
            <w:tcBorders>
              <w:top w:val="nil"/>
              <w:left w:val="nil"/>
              <w:bottom w:val="nil"/>
              <w:right w:val="nil"/>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Територія</w:t>
            </w:r>
          </w:p>
        </w:tc>
        <w:tc>
          <w:tcPr>
            <w:tcW w:w="4490" w:type="dxa"/>
            <w:vMerge w:val="restart"/>
            <w:tcBorders>
              <w:top w:val="nil"/>
              <w:left w:val="nil"/>
              <w:bottom w:val="nil"/>
              <w:right w:val="nil"/>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w:t>
            </w:r>
          </w:p>
        </w:tc>
        <w:tc>
          <w:tcPr>
            <w:tcW w:w="1990" w:type="dxa"/>
            <w:tcBorders>
              <w:top w:val="nil"/>
              <w:left w:val="nil"/>
              <w:bottom w:val="nil"/>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за КАТОТТГ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UA07080170010083384</w:t>
            </w:r>
          </w:p>
        </w:tc>
      </w:tr>
      <w:tr w:rsidR="00000000" w:rsidRPr="00707CE2">
        <w:tblPrEx>
          <w:tblCellMar>
            <w:top w:w="0" w:type="dxa"/>
            <w:bottom w:w="0" w:type="dxa"/>
          </w:tblCellMar>
        </w:tblPrEx>
        <w:tc>
          <w:tcPr>
            <w:tcW w:w="2160" w:type="dxa"/>
            <w:tcBorders>
              <w:top w:val="nil"/>
              <w:left w:val="nil"/>
              <w:bottom w:val="nil"/>
              <w:right w:val="nil"/>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Організаційно-правова форма господарювання</w:t>
            </w:r>
          </w:p>
        </w:tc>
        <w:tc>
          <w:tcPr>
            <w:tcW w:w="4490" w:type="dxa"/>
            <w:vMerge w:val="restart"/>
            <w:tcBorders>
              <w:top w:val="nil"/>
              <w:left w:val="nil"/>
              <w:bottom w:val="nil"/>
              <w:right w:val="nil"/>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Акціонерне товариство</w:t>
            </w:r>
          </w:p>
        </w:tc>
        <w:tc>
          <w:tcPr>
            <w:tcW w:w="1990" w:type="dxa"/>
            <w:tcBorders>
              <w:top w:val="nil"/>
              <w:left w:val="nil"/>
              <w:bottom w:val="nil"/>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за КОПФГ</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230</w:t>
            </w:r>
          </w:p>
        </w:tc>
      </w:tr>
      <w:tr w:rsidR="00000000" w:rsidRPr="00707CE2">
        <w:tblPrEx>
          <w:tblCellMar>
            <w:top w:w="0" w:type="dxa"/>
            <w:bottom w:w="0" w:type="dxa"/>
          </w:tblCellMar>
        </w:tblPrEx>
        <w:trPr>
          <w:trHeight w:val="298"/>
        </w:trPr>
        <w:tc>
          <w:tcPr>
            <w:tcW w:w="2160" w:type="dxa"/>
            <w:vMerge w:val="restart"/>
            <w:tcBorders>
              <w:top w:val="nil"/>
              <w:left w:val="nil"/>
              <w:bottom w:val="nil"/>
              <w:right w:val="nil"/>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Вид економічної діяльності</w:t>
            </w:r>
          </w:p>
        </w:tc>
        <w:tc>
          <w:tcPr>
            <w:tcW w:w="4490" w:type="dxa"/>
            <w:vMerge w:val="restart"/>
            <w:tcBorders>
              <w:top w:val="nil"/>
              <w:left w:val="nil"/>
              <w:bottom w:val="nil"/>
              <w:right w:val="nil"/>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w:t>
            </w:r>
          </w:p>
        </w:tc>
        <w:tc>
          <w:tcPr>
            <w:tcW w:w="1990" w:type="dxa"/>
            <w:tcBorders>
              <w:top w:val="nil"/>
              <w:left w:val="nil"/>
              <w:bottom w:val="nil"/>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b/>
                <w:bCs/>
              </w:rPr>
            </w:pPr>
            <w:r w:rsidRPr="00707CE2">
              <w:rPr>
                <w:rFonts w:ascii="Times New Roman CYR" w:eastAsiaTheme="minorEastAsia" w:hAnsi="Times New Roman CYR" w:cs="Times New Roman CYR"/>
                <w:b/>
                <w:bCs/>
              </w:rPr>
              <w:t>за КВЕД</w:t>
            </w:r>
          </w:p>
        </w:tc>
        <w:tc>
          <w:tcPr>
            <w:tcW w:w="136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68,20</w:t>
            </w:r>
          </w:p>
        </w:tc>
      </w:tr>
    </w:tbl>
    <w:p w:rsidR="00000000" w:rsidRDefault="00707CE2">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Середня кількість працівників, осіб: </w:t>
      </w:r>
      <w:r>
        <w:rPr>
          <w:rFonts w:ascii="Times New Roman CYR" w:hAnsi="Times New Roman CYR" w:cs="Times New Roman CYR"/>
        </w:rPr>
        <w:t>10</w:t>
      </w:r>
    </w:p>
    <w:p w:rsidR="00000000" w:rsidRDefault="00707CE2">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Одиниця виміру: </w:t>
      </w:r>
      <w:r>
        <w:rPr>
          <w:rFonts w:ascii="Times New Roman CYR" w:hAnsi="Times New Roman CYR" w:cs="Times New Roman CYR"/>
        </w:rPr>
        <w:t>тис.грн. з одним десятковим знаком</w:t>
      </w:r>
    </w:p>
    <w:p w:rsidR="00000000" w:rsidRDefault="00707CE2">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b/>
          <w:bCs/>
        </w:rPr>
        <w:t xml:space="preserve">Адреса, телефон: </w:t>
      </w:r>
      <w:r>
        <w:rPr>
          <w:rFonts w:ascii="Times New Roman CYR" w:hAnsi="Times New Roman CYR" w:cs="Times New Roman CYR"/>
        </w:rPr>
        <w:t>43020, Волинська обл., * р-н, м. Луцьк, Рiвненська, 44, (0332) 729 344</w:t>
      </w:r>
    </w:p>
    <w:p w:rsidR="00000000" w:rsidRDefault="00707CE2">
      <w:pPr>
        <w:widowControl w:val="0"/>
        <w:autoSpaceDE w:val="0"/>
        <w:autoSpaceDN w:val="0"/>
        <w:adjustRightInd w:val="0"/>
        <w:spacing w:after="0" w:line="240" w:lineRule="auto"/>
        <w:rPr>
          <w:rFonts w:ascii="Times New Roman CYR" w:hAnsi="Times New Roman CYR" w:cs="Times New Roman CYR"/>
          <w:sz w:val="24"/>
          <w:szCs w:val="24"/>
        </w:r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1. Баланс</w:t>
      </w:r>
    </w:p>
    <w:p w:rsidR="00000000" w:rsidRDefault="00707CE2">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на 31.12.2022 p.</w:t>
      </w:r>
    </w:p>
    <w:p w:rsidR="00000000" w:rsidRDefault="00707CE2">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№1-м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rsidRPr="00707CE2">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Pr="00707CE2" w:rsidRDefault="00707CE2">
            <w:pPr>
              <w:widowControl w:val="0"/>
              <w:autoSpaceDE w:val="0"/>
              <w:autoSpaceDN w:val="0"/>
              <w:adjustRightInd w:val="0"/>
              <w:spacing w:after="0" w:line="240" w:lineRule="auto"/>
              <w:jc w:val="right"/>
              <w:rPr>
                <w:rFonts w:ascii="Times New Roman CYR" w:eastAsiaTheme="minorEastAsia" w:hAnsi="Times New Roman CYR" w:cs="Times New Roman CYR"/>
              </w:rPr>
            </w:pPr>
            <w:r w:rsidRPr="00707CE2">
              <w:rPr>
                <w:rFonts w:ascii="Times New Roman CYR" w:eastAsiaTheme="minorEastAsia"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right"/>
              <w:rPr>
                <w:rFonts w:ascii="Times New Roman CYR" w:eastAsiaTheme="minorEastAsia" w:hAnsi="Times New Roman CYR" w:cs="Times New Roman CYR"/>
              </w:rPr>
            </w:pPr>
            <w:r w:rsidRPr="00707CE2">
              <w:rPr>
                <w:rFonts w:ascii="Times New Roman CYR" w:eastAsiaTheme="minorEastAsia" w:hAnsi="Times New Roman CYR" w:cs="Times New Roman CYR"/>
              </w:rPr>
              <w:t>1801006</w:t>
            </w:r>
          </w:p>
        </w:tc>
      </w:tr>
      <w:tr w:rsidR="00000000" w:rsidRPr="00707CE2">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Актив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На початок звітного року</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На кінець звітного періоду</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I.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Нематеріальні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1001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Накопичена амортизація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1002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Незавершені капітальні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1005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Основні засоби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1387</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1164,6</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первісна вартість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1011</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3571,3</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3571,3</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знос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1012</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(2184,3)</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(2406,7)</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Довгострокові біологічні активи </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Довгострокові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1030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Інші необоротні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1387</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1164,6</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II.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Запаси: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1100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244,1</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345,3</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у тому числі готова продукція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1103</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Поточні біологічні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1110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Дебіторська заборгованість за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1125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28,2</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29,5</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Дебіторська заборгованість за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1135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0,2</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2,9</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1136</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Інша поточна дебіторська заборгованість</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1155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97,6</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184,2</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Поточні фінансові інвестиції</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1160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0,1</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0,1</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Гроші та їх еквіваленти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1165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411,4</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107,2</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Витрати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1170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1,5</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1,8</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Інші оборотні активи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1190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Усього за розділом 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1195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783,1</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671</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III. Необоротні активи, утримувані для продажу, та групи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1200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2170,1</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1835,6</w:t>
            </w:r>
          </w:p>
        </w:tc>
      </w:tr>
    </w:tbl>
    <w:p w:rsidR="00000000" w:rsidRDefault="00707CE2">
      <w:pPr>
        <w:widowControl w:val="0"/>
        <w:autoSpaceDE w:val="0"/>
        <w:autoSpaceDN w:val="0"/>
        <w:adjustRightInd w:val="0"/>
        <w:spacing w:after="0" w:line="240" w:lineRule="auto"/>
        <w:rPr>
          <w:rFonts w:ascii="Times New Roman CYR" w:hAnsi="Times New Roman CYR" w:cs="Times New Roman CYR"/>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1729"/>
        <w:gridCol w:w="1645"/>
      </w:tblGrid>
      <w:tr w:rsidR="00000000" w:rsidRPr="00707CE2">
        <w:tblPrEx>
          <w:tblCellMar>
            <w:top w:w="0" w:type="dxa"/>
            <w:bottom w:w="0" w:type="dxa"/>
          </w:tblCellMar>
        </w:tblPrEx>
        <w:trPr>
          <w:trHeight w:val="529"/>
        </w:trPr>
        <w:tc>
          <w:tcPr>
            <w:tcW w:w="5850" w:type="dxa"/>
            <w:tcBorders>
              <w:top w:val="single" w:sz="6" w:space="0" w:color="auto"/>
              <w:bottom w:val="single" w:sz="6" w:space="0" w:color="auto"/>
              <w:right w:val="single" w:sz="6" w:space="0" w:color="auto"/>
            </w:tcBorders>
            <w:shd w:val="clear" w:color="auto" w:fill="E6E6E6"/>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lastRenderedPageBreak/>
              <w:t>Пасив</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Код рядка</w:t>
            </w:r>
          </w:p>
        </w:tc>
        <w:tc>
          <w:tcPr>
            <w:tcW w:w="1729"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На початок звітного року</w:t>
            </w:r>
          </w:p>
        </w:tc>
        <w:tc>
          <w:tcPr>
            <w:tcW w:w="1645" w:type="dxa"/>
            <w:tcBorders>
              <w:top w:val="single" w:sz="6" w:space="0" w:color="auto"/>
              <w:left w:val="single" w:sz="6" w:space="0" w:color="auto"/>
              <w:bottom w:val="single" w:sz="6" w:space="0" w:color="auto"/>
            </w:tcBorders>
            <w:shd w:val="clear" w:color="auto" w:fill="E6E6E6"/>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На кінець звітного періоду</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w:t>
            </w:r>
          </w:p>
        </w:tc>
        <w:tc>
          <w:tcPr>
            <w:tcW w:w="1729" w:type="dxa"/>
            <w:tcBorders>
              <w:top w:val="single" w:sz="6" w:space="0" w:color="auto"/>
              <w:left w:val="single" w:sz="6" w:space="0" w:color="auto"/>
              <w:bottom w:val="single" w:sz="6" w:space="0" w:color="auto"/>
              <w:right w:val="single" w:sz="6" w:space="0" w:color="auto"/>
            </w:tcBorders>
            <w:shd w:val="clear" w:color="auto" w:fill="E6E6E6"/>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w:t>
            </w:r>
          </w:p>
        </w:tc>
        <w:tc>
          <w:tcPr>
            <w:tcW w:w="1645" w:type="dxa"/>
            <w:tcBorders>
              <w:top w:val="single" w:sz="6" w:space="0" w:color="auto"/>
              <w:left w:val="single" w:sz="6" w:space="0" w:color="auto"/>
              <w:bottom w:val="single" w:sz="6" w:space="0" w:color="auto"/>
            </w:tcBorders>
            <w:shd w:val="clear" w:color="auto" w:fill="E6E6E6"/>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I. Власний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r>
      <w:tr w:rsidR="00000000" w:rsidRPr="00707CE2">
        <w:tblPrEx>
          <w:tblCellMar>
            <w:top w:w="0" w:type="dxa"/>
            <w:bottom w:w="0" w:type="dxa"/>
          </w:tblCellMar>
        </w:tblPrEx>
        <w:trPr>
          <w:trHeight w:val="205"/>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Зареєстрований (пайовий)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1400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1032</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1032</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Додатковий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1410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83,8</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83,8</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Резервний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1415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155</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155</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Нерозподілений прибуток (непокритий збиток)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1420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775,3</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393,5</w:t>
            </w:r>
          </w:p>
        </w:tc>
      </w:tr>
      <w:tr w:rsidR="00000000" w:rsidRPr="00707CE2">
        <w:tblPrEx>
          <w:tblBorders>
            <w:top w:val="none" w:sz="0" w:space="0" w:color="auto"/>
            <w:left w:val="none" w:sz="0" w:space="0" w:color="auto"/>
            <w:bottom w:val="none" w:sz="0" w:space="0" w:color="auto"/>
            <w:right w:val="none" w:sz="0" w:space="0" w:color="auto"/>
          </w:tblBorders>
          <w:tblCellMar>
            <w:top w:w="0" w:type="dxa"/>
            <w:bottom w:w="0" w:type="dxa"/>
          </w:tblCellMar>
        </w:tblPrEx>
        <w:trPr>
          <w:trHeight w:val="200"/>
        </w:trPr>
        <w:tc>
          <w:tcPr>
            <w:tcW w:w="5850"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Неоплачений капітал</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1425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Усього за розділом 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1495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2046,1</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1664,3</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II. Довгострокові зобов`язання, цільове фінансування та забезпечення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1595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III.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Короткострокові кредити банків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1600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Поточна кредиторська заборгованість за: довгостроковими зобов'язаннями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1610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товари, роботи, послуги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1615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46,4</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81,2</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розрахунками з бюджетом</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1620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77,6</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90,1</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у тому числі з податку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1621</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розрахунками зі страхування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1625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 xml:space="preserve">    розрахунками з оплати праці</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1630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Доходи майбутніх періодів</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1665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Інші поточні зобов'язання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1690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Усього за розділом III</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1695</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124</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171,3</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IV. Зобов'язання, пов'язані з необоротними активами, утримуваними для продажу, та групами вибуття</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1700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Баланс</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1900</w:t>
            </w:r>
          </w:p>
        </w:tc>
        <w:tc>
          <w:tcPr>
            <w:tcW w:w="1729"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2170,1</w:t>
            </w:r>
          </w:p>
        </w:tc>
        <w:tc>
          <w:tcPr>
            <w:tcW w:w="1645"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1835,6</w:t>
            </w:r>
          </w:p>
        </w:tc>
      </w:tr>
    </w:tbl>
    <w:p w:rsidR="00000000" w:rsidRDefault="00707CE2">
      <w:pPr>
        <w:widowControl w:val="0"/>
        <w:autoSpaceDE w:val="0"/>
        <w:autoSpaceDN w:val="0"/>
        <w:adjustRightInd w:val="0"/>
        <w:spacing w:after="0" w:line="240" w:lineRule="auto"/>
        <w:rPr>
          <w:rFonts w:ascii="Times New Roman CYR" w:hAnsi="Times New Roman CYR" w:cs="Times New Roman CYR"/>
        </w:rPr>
      </w:pPr>
    </w:p>
    <w:p w:rsidR="00000000" w:rsidRDefault="00707CE2">
      <w:pPr>
        <w:widowControl w:val="0"/>
        <w:autoSpaceDE w:val="0"/>
        <w:autoSpaceDN w:val="0"/>
        <w:adjustRightInd w:val="0"/>
        <w:spacing w:after="0" w:line="240" w:lineRule="auto"/>
        <w:rPr>
          <w:rFonts w:ascii="Times New Roman CYR" w:hAnsi="Times New Roman CYR" w:cs="Times New Roman CYR"/>
        </w:rPr>
        <w:sectPr w:rsidR="00000000">
          <w:pgSz w:w="12240" w:h="15840"/>
          <w:pgMar w:top="850" w:right="850" w:bottom="850" w:left="1400" w:header="720" w:footer="720" w:gutter="0"/>
          <w:cols w:space="720"/>
          <w:noEndnote/>
        </w:sectPr>
      </w:pPr>
    </w:p>
    <w:p w:rsidR="00000000" w:rsidRDefault="00707CE2">
      <w:pPr>
        <w:widowControl w:val="0"/>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lastRenderedPageBreak/>
        <w:t>2. Звіт про фінансові результати</w:t>
      </w:r>
    </w:p>
    <w:p w:rsidR="00000000" w:rsidRDefault="00707CE2">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за 2022 рік</w:t>
      </w:r>
    </w:p>
    <w:p w:rsidR="00000000" w:rsidRDefault="00707CE2">
      <w:pPr>
        <w:widowControl w:val="0"/>
        <w:autoSpaceDE w:val="0"/>
        <w:autoSpaceDN w:val="0"/>
        <w:adjustRightInd w:val="0"/>
        <w:spacing w:after="0" w:line="240" w:lineRule="auto"/>
        <w:jc w:val="center"/>
        <w:rPr>
          <w:rFonts w:ascii="Times New Roman CYR" w:hAnsi="Times New Roman CYR" w:cs="Times New Roman CYR"/>
        </w:rPr>
      </w:pPr>
      <w:r>
        <w:rPr>
          <w:rFonts w:ascii="Times New Roman CYR" w:hAnsi="Times New Roman CYR" w:cs="Times New Roman CYR"/>
        </w:rPr>
        <w:t>Форма №2-м</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850"/>
        <w:gridCol w:w="776"/>
        <w:gridCol w:w="874"/>
        <w:gridCol w:w="855"/>
        <w:gridCol w:w="645"/>
        <w:gridCol w:w="1000"/>
      </w:tblGrid>
      <w:tr w:rsidR="00000000" w:rsidRPr="00707CE2">
        <w:tblPrEx>
          <w:tblCellMar>
            <w:top w:w="0" w:type="dxa"/>
            <w:bottom w:w="0" w:type="dxa"/>
          </w:tblCellMar>
        </w:tblPrEx>
        <w:trPr>
          <w:gridBefore w:val="3"/>
          <w:wBefore w:w="7500" w:type="dxa"/>
          <w:trHeight w:val="280"/>
        </w:trPr>
        <w:tc>
          <w:tcPr>
            <w:tcW w:w="1500" w:type="dxa"/>
            <w:gridSpan w:val="2"/>
            <w:tcBorders>
              <w:top w:val="nil"/>
              <w:left w:val="nil"/>
              <w:bottom w:val="nil"/>
              <w:right w:val="single" w:sz="6" w:space="0" w:color="auto"/>
            </w:tcBorders>
            <w:vAlign w:val="center"/>
          </w:tcPr>
          <w:p w:rsidR="00000000" w:rsidRPr="00707CE2" w:rsidRDefault="00707CE2">
            <w:pPr>
              <w:widowControl w:val="0"/>
              <w:autoSpaceDE w:val="0"/>
              <w:autoSpaceDN w:val="0"/>
              <w:adjustRightInd w:val="0"/>
              <w:spacing w:after="0" w:line="240" w:lineRule="auto"/>
              <w:jc w:val="right"/>
              <w:rPr>
                <w:rFonts w:ascii="Times New Roman CYR" w:eastAsiaTheme="minorEastAsia" w:hAnsi="Times New Roman CYR" w:cs="Times New Roman CYR"/>
              </w:rPr>
            </w:pPr>
            <w:r w:rsidRPr="00707CE2">
              <w:rPr>
                <w:rFonts w:ascii="Times New Roman CYR" w:eastAsiaTheme="minorEastAsia" w:hAnsi="Times New Roman CYR" w:cs="Times New Roman CYR"/>
              </w:rPr>
              <w:t>Код за ДКУД</w:t>
            </w:r>
          </w:p>
        </w:tc>
        <w:tc>
          <w:tcPr>
            <w:tcW w:w="1000" w:type="dxa"/>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right"/>
              <w:rPr>
                <w:rFonts w:ascii="Times New Roman CYR" w:eastAsiaTheme="minorEastAsia" w:hAnsi="Times New Roman CYR" w:cs="Times New Roman CYR"/>
              </w:rPr>
            </w:pPr>
            <w:r w:rsidRPr="00707CE2">
              <w:rPr>
                <w:rFonts w:ascii="Times New Roman CYR" w:eastAsiaTheme="minorEastAsia" w:hAnsi="Times New Roman CYR" w:cs="Times New Roman CYR"/>
              </w:rPr>
              <w:t>1801007</w:t>
            </w:r>
          </w:p>
        </w:tc>
      </w:tr>
      <w:tr w:rsidR="00000000" w:rsidRPr="00707CE2">
        <w:tblPrEx>
          <w:tblCellMar>
            <w:top w:w="0" w:type="dxa"/>
            <w:bottom w:w="0" w:type="dxa"/>
          </w:tblCellMar>
        </w:tblPrEx>
        <w:trPr>
          <w:trHeight w:val="530"/>
        </w:trPr>
        <w:tc>
          <w:tcPr>
            <w:tcW w:w="5850" w:type="dxa"/>
            <w:tcBorders>
              <w:top w:val="single" w:sz="6" w:space="0" w:color="auto"/>
              <w:bottom w:val="single" w:sz="6" w:space="0" w:color="auto"/>
              <w:right w:val="single" w:sz="6" w:space="0" w:color="auto"/>
            </w:tcBorders>
            <w:shd w:val="clear" w:color="auto" w:fill="E6E6E6"/>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Стаття</w:t>
            </w:r>
          </w:p>
        </w:tc>
        <w:tc>
          <w:tcPr>
            <w:tcW w:w="776" w:type="dxa"/>
            <w:tcBorders>
              <w:top w:val="single" w:sz="6" w:space="0" w:color="auto"/>
              <w:left w:val="single" w:sz="6" w:space="0" w:color="auto"/>
              <w:bottom w:val="single" w:sz="6" w:space="0" w:color="auto"/>
              <w:right w:val="single" w:sz="6" w:space="0" w:color="auto"/>
            </w:tcBorders>
            <w:shd w:val="clear" w:color="auto" w:fill="E6E6E6"/>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Код рядка</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За звітний період</w:t>
            </w:r>
          </w:p>
        </w:tc>
        <w:tc>
          <w:tcPr>
            <w:tcW w:w="1645" w:type="dxa"/>
            <w:gridSpan w:val="2"/>
            <w:tcBorders>
              <w:top w:val="single" w:sz="6" w:space="0" w:color="auto"/>
              <w:left w:val="single" w:sz="6" w:space="0" w:color="auto"/>
              <w:bottom w:val="single" w:sz="6" w:space="0" w:color="auto"/>
            </w:tcBorders>
            <w:shd w:val="clear" w:color="auto" w:fill="E6E6E6"/>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За аналогічний період попереднього року</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shd w:val="clear" w:color="auto" w:fill="E6E6E6"/>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w:t>
            </w:r>
          </w:p>
        </w:tc>
        <w:tc>
          <w:tcPr>
            <w:tcW w:w="776" w:type="dxa"/>
            <w:tcBorders>
              <w:top w:val="single" w:sz="6" w:space="0" w:color="auto"/>
              <w:left w:val="single" w:sz="6" w:space="0" w:color="auto"/>
              <w:bottom w:val="single" w:sz="6" w:space="0" w:color="auto"/>
              <w:right w:val="single" w:sz="6" w:space="0" w:color="auto"/>
            </w:tcBorders>
            <w:shd w:val="clear" w:color="auto" w:fill="E6E6E6"/>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w:t>
            </w:r>
          </w:p>
        </w:tc>
        <w:tc>
          <w:tcPr>
            <w:tcW w:w="1729" w:type="dxa"/>
            <w:gridSpan w:val="2"/>
            <w:tcBorders>
              <w:top w:val="single" w:sz="6" w:space="0" w:color="auto"/>
              <w:left w:val="single" w:sz="6" w:space="0" w:color="auto"/>
              <w:bottom w:val="single" w:sz="6" w:space="0" w:color="auto"/>
              <w:right w:val="single" w:sz="6" w:space="0" w:color="auto"/>
            </w:tcBorders>
            <w:shd w:val="clear" w:color="auto" w:fill="E6E6E6"/>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w:t>
            </w:r>
          </w:p>
        </w:tc>
        <w:tc>
          <w:tcPr>
            <w:tcW w:w="1645" w:type="dxa"/>
            <w:gridSpan w:val="2"/>
            <w:tcBorders>
              <w:top w:val="single" w:sz="6" w:space="0" w:color="auto"/>
              <w:left w:val="single" w:sz="6" w:space="0" w:color="auto"/>
              <w:bottom w:val="single" w:sz="6" w:space="0" w:color="auto"/>
            </w:tcBorders>
            <w:shd w:val="clear" w:color="auto" w:fill="E6E6E6"/>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Чистий дохід від реалізації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2000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5017,3</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4788,7</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Інші операційні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2120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Інші доходи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2240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 xml:space="preserve">Разом доходи </w:t>
            </w:r>
            <w:r w:rsidRPr="00707CE2">
              <w:rPr>
                <w:rFonts w:ascii="Times New Roman CYR" w:eastAsiaTheme="minorEastAsia" w:hAnsi="Times New Roman CYR" w:cs="Times New Roman CYR"/>
              </w:rPr>
              <w:t>(2000 + 2120 + 2240)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2280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5017,3</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4788,7</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Собівартість реалізованої продукції (товарів, робіт, послуг)</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2050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(2335,1)</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(1487,1)</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Інші операційні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2180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(3064)</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(3113)</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Інші витрати</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2270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 xml:space="preserve">Разом витрати </w:t>
            </w:r>
            <w:r w:rsidRPr="00707CE2">
              <w:rPr>
                <w:rFonts w:ascii="Times New Roman CYR" w:eastAsiaTheme="minorEastAsia" w:hAnsi="Times New Roman CYR" w:cs="Times New Roman CYR"/>
              </w:rPr>
              <w:t>(2050 + 2180 + 2270)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2285</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(5399,1)</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(4600,1)</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Фінансовий результат до оподаткування (2280 - 2285)</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2290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-381,8</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188,6</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rPr>
              <w:t>Податок на прибуток</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2300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(0)</w:t>
            </w:r>
          </w:p>
        </w:tc>
      </w:tr>
      <w:tr w:rsidR="00000000" w:rsidRPr="00707CE2">
        <w:tblPrEx>
          <w:tblCellMar>
            <w:top w:w="0" w:type="dxa"/>
            <w:bottom w:w="0" w:type="dxa"/>
          </w:tblCellMar>
        </w:tblPrEx>
        <w:trPr>
          <w:trHeight w:val="200"/>
        </w:trPr>
        <w:tc>
          <w:tcPr>
            <w:tcW w:w="5850" w:type="dxa"/>
            <w:tcBorders>
              <w:top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rPr>
                <w:rFonts w:ascii="Times New Roman CYR" w:eastAsiaTheme="minorEastAsia" w:hAnsi="Times New Roman CYR" w:cs="Times New Roman CYR"/>
              </w:rPr>
            </w:pPr>
            <w:r w:rsidRPr="00707CE2">
              <w:rPr>
                <w:rFonts w:ascii="Times New Roman CYR" w:eastAsiaTheme="minorEastAsia" w:hAnsi="Times New Roman CYR" w:cs="Times New Roman CYR"/>
                <w:b/>
                <w:bCs/>
              </w:rPr>
              <w:t xml:space="preserve">Чистий прибуток (збиток) </w:t>
            </w:r>
            <w:r w:rsidRPr="00707CE2">
              <w:rPr>
                <w:rFonts w:ascii="Times New Roman CYR" w:eastAsiaTheme="minorEastAsia" w:hAnsi="Times New Roman CYR" w:cs="Times New Roman CYR"/>
              </w:rPr>
              <w:t>(2290 - 2300)</w:t>
            </w:r>
          </w:p>
        </w:tc>
        <w:tc>
          <w:tcPr>
            <w:tcW w:w="776" w:type="dxa"/>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2350</w:t>
            </w:r>
          </w:p>
        </w:tc>
        <w:tc>
          <w:tcPr>
            <w:tcW w:w="1729" w:type="dxa"/>
            <w:gridSpan w:val="2"/>
            <w:tcBorders>
              <w:top w:val="single" w:sz="6" w:space="0" w:color="auto"/>
              <w:left w:val="single" w:sz="6" w:space="0" w:color="auto"/>
              <w:bottom w:val="single" w:sz="6" w:space="0" w:color="auto"/>
              <w:right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-381,8</w:t>
            </w:r>
          </w:p>
        </w:tc>
        <w:tc>
          <w:tcPr>
            <w:tcW w:w="1645" w:type="dxa"/>
            <w:gridSpan w:val="2"/>
            <w:tcBorders>
              <w:top w:val="single" w:sz="6" w:space="0" w:color="auto"/>
              <w:left w:val="single" w:sz="6" w:space="0" w:color="auto"/>
              <w:bottom w:val="single" w:sz="6" w:space="0" w:color="auto"/>
            </w:tcBorders>
            <w:vAlign w:val="center"/>
          </w:tcPr>
          <w:p w:rsidR="00000000" w:rsidRPr="00707CE2" w:rsidRDefault="00707CE2">
            <w:pPr>
              <w:widowControl w:val="0"/>
              <w:autoSpaceDE w:val="0"/>
              <w:autoSpaceDN w:val="0"/>
              <w:adjustRightInd w:val="0"/>
              <w:spacing w:after="0" w:line="240" w:lineRule="auto"/>
              <w:jc w:val="center"/>
              <w:rPr>
                <w:rFonts w:ascii="Times New Roman CYR" w:eastAsiaTheme="minorEastAsia" w:hAnsi="Times New Roman CYR" w:cs="Times New Roman CYR"/>
              </w:rPr>
            </w:pPr>
            <w:r w:rsidRPr="00707CE2">
              <w:rPr>
                <w:rFonts w:ascii="Times New Roman CYR" w:eastAsiaTheme="minorEastAsia" w:hAnsi="Times New Roman CYR" w:cs="Times New Roman CYR"/>
              </w:rPr>
              <w:t>188,6</w:t>
            </w:r>
          </w:p>
        </w:tc>
      </w:tr>
    </w:tbl>
    <w:p w:rsidR="00000000" w:rsidRDefault="00707CE2">
      <w:pPr>
        <w:widowControl w:val="0"/>
        <w:autoSpaceDE w:val="0"/>
        <w:autoSpaceDN w:val="0"/>
        <w:adjustRightInd w:val="0"/>
        <w:spacing w:after="0" w:line="240" w:lineRule="auto"/>
        <w:rPr>
          <w:rFonts w:ascii="Times New Roman CYR" w:hAnsi="Times New Roman CYR" w:cs="Times New Roman CYR"/>
        </w:rPr>
      </w:pPr>
    </w:p>
    <w:p w:rsidR="00000000" w:rsidRDefault="00707CE2">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Керівник</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Войтанiк В.О.</w:t>
      </w:r>
    </w:p>
    <w:p w:rsidR="00000000" w:rsidRDefault="00707CE2">
      <w:pPr>
        <w:widowControl w:val="0"/>
        <w:autoSpaceDE w:val="0"/>
        <w:autoSpaceDN w:val="0"/>
        <w:adjustRightInd w:val="0"/>
        <w:spacing w:after="0" w:line="240" w:lineRule="auto"/>
        <w:rPr>
          <w:rFonts w:ascii="Times New Roman CYR" w:hAnsi="Times New Roman CYR" w:cs="Times New Roman CYR"/>
        </w:rPr>
      </w:pPr>
    </w:p>
    <w:p w:rsidR="00000000" w:rsidRDefault="00707CE2">
      <w:pPr>
        <w:widowControl w:val="0"/>
        <w:autoSpaceDE w:val="0"/>
        <w:autoSpaceDN w:val="0"/>
        <w:adjustRightInd w:val="0"/>
        <w:spacing w:after="0" w:line="240" w:lineRule="auto"/>
        <w:rPr>
          <w:rFonts w:ascii="Times New Roman CYR" w:hAnsi="Times New Roman CYR" w:cs="Times New Roman CYR"/>
        </w:rPr>
      </w:pPr>
      <w:r>
        <w:rPr>
          <w:rFonts w:ascii="Times New Roman CYR" w:hAnsi="Times New Roman CYR" w:cs="Times New Roman CYR"/>
        </w:rPr>
        <w:t>Головний бухгалтер</w:t>
      </w:r>
      <w:r>
        <w:rPr>
          <w:rFonts w:ascii="Times New Roman CYR" w:hAnsi="Times New Roman CYR" w:cs="Times New Roman CYR"/>
        </w:rPr>
        <w:tab/>
      </w:r>
      <w:r>
        <w:rPr>
          <w:rFonts w:ascii="Times New Roman CYR" w:hAnsi="Times New Roman CYR" w:cs="Times New Roman CYR"/>
        </w:rPr>
        <w:tab/>
      </w:r>
      <w:r>
        <w:rPr>
          <w:rFonts w:ascii="Times New Roman CYR" w:hAnsi="Times New Roman CYR" w:cs="Times New Roman CYR"/>
        </w:rPr>
        <w:tab/>
        <w:t>Маркевич О.В.</w:t>
      </w:r>
    </w:p>
    <w:p w:rsidR="00707CE2" w:rsidRDefault="00707CE2">
      <w:pPr>
        <w:widowControl w:val="0"/>
        <w:autoSpaceDE w:val="0"/>
        <w:autoSpaceDN w:val="0"/>
        <w:adjustRightInd w:val="0"/>
        <w:spacing w:after="0" w:line="240" w:lineRule="auto"/>
        <w:rPr>
          <w:rFonts w:ascii="Times New Roman CYR" w:hAnsi="Times New Roman CYR" w:cs="Times New Roman CYR"/>
        </w:rPr>
      </w:pPr>
    </w:p>
    <w:sectPr w:rsidR="00707CE2">
      <w:pgSz w:w="12240" w:h="15840"/>
      <w:pgMar w:top="850" w:right="850" w:bottom="850" w:left="14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6169F"/>
    <w:rsid w:val="00707CE2"/>
    <w:rsid w:val="0096169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12775</Words>
  <Characters>72823</Characters>
  <Application>Microsoft Office Word</Application>
  <DocSecurity>0</DocSecurity>
  <Lines>606</Lines>
  <Paragraphs>170</Paragraphs>
  <ScaleCrop>false</ScaleCrop>
  <Company>Microsoft</Company>
  <LinksUpToDate>false</LinksUpToDate>
  <CharactersWithSpaces>85428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dc:creator>
  <cp:lastModifiedBy>Best</cp:lastModifiedBy>
  <cp:revision>2</cp:revision>
  <dcterms:created xsi:type="dcterms:W3CDTF">2023-06-17T10:04:00Z</dcterms:created>
  <dcterms:modified xsi:type="dcterms:W3CDTF">2023-06-17T10:04:00Z</dcterms:modified>
</cp:coreProperties>
</file>