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8417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384175">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0"/>
      </w:tblGrid>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08.04.2021</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4</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0"/>
          <w:szCs w:val="20"/>
        </w:rPr>
        <w:tab/>
      </w:r>
      <w:r>
        <w:rPr>
          <w:rFonts w:ascii="Times New Roman CYR" w:hAnsi="Times New Roman CYR" w:cs="Times New Roman CYR"/>
          <w:sz w:val="24"/>
          <w:szCs w:val="24"/>
        </w:rPr>
        <w:t xml:space="preserve">Підтверджую ідентичність та достовірність інформації, що розкрита відповідно до вимог Положення про розкриття </w:t>
      </w:r>
      <w:r>
        <w:rPr>
          <w:rFonts w:ascii="Times New Roman CYR" w:hAnsi="Times New Roman CYR" w:cs="Times New Roman CYR"/>
          <w:sz w:val="24"/>
          <w:szCs w:val="24"/>
        </w:rPr>
        <w:t>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(далі - По</w:t>
      </w:r>
      <w:r>
        <w:rPr>
          <w:rFonts w:ascii="Times New Roman CYR" w:hAnsi="Times New Roman CYR" w:cs="Times New Roman CYR"/>
          <w:sz w:val="24"/>
          <w:szCs w:val="24"/>
        </w:rPr>
        <w:t>ложення).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640"/>
        <w:gridCol w:w="236"/>
        <w:gridCol w:w="1354"/>
        <w:gridCol w:w="236"/>
        <w:gridCol w:w="4654"/>
      </w:tblGrid>
      <w:tr w:rsidR="00000000">
        <w:tblPrEx>
          <w:tblCellMar>
            <w:top w:w="0" w:type="dxa"/>
            <w:bottom w:w="0" w:type="dxa"/>
          </w:tblCellMar>
        </w:tblPrEx>
        <w:trPr>
          <w:trHeight w:val="200"/>
        </w:trPr>
        <w:tc>
          <w:tcPr>
            <w:tcW w:w="3640" w:type="dxa"/>
            <w:tcBorders>
              <w:top w:val="nil"/>
              <w:left w:val="nil"/>
              <w:bottom w:val="single" w:sz="6" w:space="0" w:color="auto"/>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Голова комiсiї з припинення</w:t>
            </w:r>
          </w:p>
        </w:tc>
        <w:tc>
          <w:tcPr>
            <w:tcW w:w="216" w:type="dxa"/>
            <w:tcBorders>
              <w:top w:val="nil"/>
              <w:left w:val="nil"/>
              <w:bottom w:val="nil"/>
              <w:right w:val="nil"/>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54" w:type="dxa"/>
            <w:tcBorders>
              <w:top w:val="nil"/>
              <w:left w:val="nil"/>
              <w:bottom w:val="single" w:sz="6" w:space="0" w:color="auto"/>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654" w:type="dxa"/>
            <w:tcBorders>
              <w:top w:val="nil"/>
              <w:left w:val="nil"/>
              <w:bottom w:val="single" w:sz="6" w:space="0" w:color="auto"/>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Канарейкiн Володимир Iванович</w:t>
            </w:r>
          </w:p>
        </w:tc>
      </w:tr>
      <w:tr w:rsidR="00000000">
        <w:tblPrEx>
          <w:tblCellMar>
            <w:top w:w="0" w:type="dxa"/>
            <w:bottom w:w="0" w:type="dxa"/>
          </w:tblCellMar>
        </w:tblPrEx>
        <w:trPr>
          <w:trHeight w:val="200"/>
        </w:trPr>
        <w:tc>
          <w:tcPr>
            <w:tcW w:w="3640" w:type="dxa"/>
            <w:tcBorders>
              <w:top w:val="nil"/>
              <w:left w:val="nil"/>
              <w:bottom w:val="nil"/>
              <w:right w:val="nil"/>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354" w:type="dxa"/>
            <w:tcBorders>
              <w:top w:val="nil"/>
              <w:left w:val="nil"/>
              <w:bottom w:val="nil"/>
              <w:right w:val="nil"/>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(підпис)</w:t>
            </w:r>
          </w:p>
        </w:tc>
        <w:tc>
          <w:tcPr>
            <w:tcW w:w="216" w:type="dxa"/>
            <w:tcBorders>
              <w:top w:val="nil"/>
              <w:left w:val="nil"/>
              <w:bottom w:val="nil"/>
              <w:right w:val="nil"/>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4654" w:type="dxa"/>
            <w:tcBorders>
              <w:top w:val="nil"/>
              <w:left w:val="nil"/>
              <w:bottom w:val="nil"/>
              <w:right w:val="nil"/>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 емітента)</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Річна інформація емітента цінних паперів за 2020 рік</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 Загальні відомості</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 Вiдкрите акцiонерне товариство "Елегал"</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 Відкрите акціонерне товариство</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 14308612</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4. Місцезнаходження: 80074, Львівська обл., Сокальський р-н, м. Великi </w:t>
      </w:r>
      <w:r>
        <w:rPr>
          <w:rFonts w:ascii="Times New Roman CYR" w:hAnsi="Times New Roman CYR" w:cs="Times New Roman CYR"/>
          <w:sz w:val="24"/>
          <w:szCs w:val="24"/>
        </w:rPr>
        <w:t>Мости, вул.  Львiвська , 2а</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телефон та факс: (03257) 6-49-80, (03257) 6-44-60</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 elegal@emitent.net.ua</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Дата та рішення наглядової ради емітента, яким затверджено річну інформацію, або дата та рішення загальни</w:t>
      </w:r>
      <w:r>
        <w:rPr>
          <w:rFonts w:ascii="Times New Roman CYR" w:hAnsi="Times New Roman CYR" w:cs="Times New Roman CYR"/>
          <w:sz w:val="24"/>
          <w:szCs w:val="24"/>
        </w:rPr>
        <w:t xml:space="preserve">х зборів акціонерів, яким затверджено річну інформацію емітента (за наявності): </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w:t>
      </w:r>
      <w:r>
        <w:rPr>
          <w:rFonts w:ascii="Times New Roman CYR" w:hAnsi="Times New Roman CYR" w:cs="Times New Roman CYR"/>
          <w:sz w:val="24"/>
          <w:szCs w:val="24"/>
        </w:rPr>
        <w:t xml:space="preserve"> послуги на фондовому ринку, особи, яка здійснює діяльність з оприлюднення регульованої інформації від імені учасника фондового ринку (у разі здійснення оприлюднення): Державна установа "Агентство з розвитку iнфраструктури фондового ринку України", 2167626</w:t>
      </w:r>
      <w:r>
        <w:rPr>
          <w:rFonts w:ascii="Times New Roman CYR" w:hAnsi="Times New Roman CYR" w:cs="Times New Roman CYR"/>
          <w:sz w:val="24"/>
          <w:szCs w:val="24"/>
        </w:rPr>
        <w:t>2, Україна, DR/00001/APA</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9.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фондовому ринку, особи, яка здійснює подання </w:t>
      </w:r>
      <w:r>
        <w:rPr>
          <w:rFonts w:ascii="Times New Roman CYR" w:hAnsi="Times New Roman CYR" w:cs="Times New Roman CYR"/>
          <w:sz w:val="24"/>
          <w:szCs w:val="24"/>
        </w:rPr>
        <w:t>звітності та/або адміністративних даних до Національної комісії з цінних паперів та фондового ринку (у разі, якщо емітент не подає Інформацію до Національної комісії з цінних паперів та фондового ринку безпосередньо): Державна установа "Агентство з розвитк</w:t>
      </w:r>
      <w:r>
        <w:rPr>
          <w:rFonts w:ascii="Times New Roman CYR" w:hAnsi="Times New Roman CYR" w:cs="Times New Roman CYR"/>
          <w:sz w:val="24"/>
          <w:szCs w:val="24"/>
        </w:rPr>
        <w:t>у iнфраструктури фондового ринку України", 21676262, Україна, DR/00002/ARM</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II. Дані про дату та місце оприлюднення річної інформації</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4130"/>
        <w:gridCol w:w="1500"/>
      </w:tblGrid>
      <w:tr w:rsidR="00000000">
        <w:tblPrEx>
          <w:tblCellMar>
            <w:top w:w="0" w:type="dxa"/>
            <w:bottom w:w="0" w:type="dxa"/>
          </w:tblCellMar>
        </w:tblPrEx>
        <w:trPr>
          <w:trHeight w:val="300"/>
        </w:trPr>
        <w:tc>
          <w:tcPr>
            <w:tcW w:w="4450" w:type="dxa"/>
            <w:vMerge w:val="restart"/>
            <w:tcBorders>
              <w:top w:val="nil"/>
              <w:left w:val="nil"/>
              <w:bottom w:val="nil"/>
              <w:right w:val="nil"/>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Річну інформацію розміщено на власному веб-сайті учасника фондового ринку</w:t>
            </w:r>
          </w:p>
        </w:tc>
        <w:tc>
          <w:tcPr>
            <w:tcW w:w="4130" w:type="dxa"/>
            <w:tcBorders>
              <w:top w:val="nil"/>
              <w:left w:val="nil"/>
              <w:bottom w:val="single" w:sz="6" w:space="0" w:color="auto"/>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14308612.infosite.com.ua</w:t>
            </w:r>
          </w:p>
        </w:tc>
        <w:tc>
          <w:tcPr>
            <w:tcW w:w="1500" w:type="dxa"/>
            <w:tcBorders>
              <w:top w:val="nil"/>
              <w:left w:val="nil"/>
              <w:bottom w:val="single" w:sz="6" w:space="0" w:color="auto"/>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12.04.2021</w:t>
            </w:r>
          </w:p>
        </w:tc>
      </w:tr>
      <w:tr w:rsidR="00000000">
        <w:tblPrEx>
          <w:tblCellMar>
            <w:top w:w="0" w:type="dxa"/>
            <w:bottom w:w="0" w:type="dxa"/>
          </w:tblCellMar>
        </w:tblPrEx>
        <w:trPr>
          <w:trHeight w:val="300"/>
        </w:trPr>
        <w:tc>
          <w:tcPr>
            <w:tcW w:w="4450" w:type="dxa"/>
            <w:vMerge/>
            <w:tcBorders>
              <w:top w:val="nil"/>
              <w:left w:val="nil"/>
              <w:bottom w:val="nil"/>
              <w:right w:val="nil"/>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pPr>
          </w:p>
        </w:tc>
        <w:tc>
          <w:tcPr>
            <w:tcW w:w="413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сторінки)</w:t>
            </w:r>
          </w:p>
        </w:tc>
        <w:tc>
          <w:tcPr>
            <w:tcW w:w="15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Зміст</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8"/>
          <w:szCs w:val="28"/>
        </w:rPr>
        <w:tab/>
      </w:r>
      <w:r>
        <w:rPr>
          <w:rFonts w:ascii="Times New Roman CYR" w:hAnsi="Times New Roman CYR" w:cs="Times New Roman CYR"/>
          <w:sz w:val="24"/>
          <w:szCs w:val="24"/>
        </w:rPr>
        <w:t>Відмітьте (Х), якщо відповідна інформація міститься у річній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000"/>
        <w:gridCol w:w="1000"/>
      </w:tblGrid>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Основні відомості про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одержані ліцензії (дозволи) на окремі види діяльності</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Відомості пр</w:t>
            </w:r>
            <w:r>
              <w:rPr>
                <w:rFonts w:ascii="Times New Roman CYR" w:hAnsi="Times New Roman CYR" w:cs="Times New Roman CYR"/>
                <w:sz w:val="24"/>
                <w:szCs w:val="24"/>
              </w:rPr>
              <w:t>о участь емітента в інших юридичних особах</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щодо корпоративного секретаря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рейтингове агентство</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наявність філіалів або інших відокремлених структурних підрозділів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Судові справи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Штрафні санкції щодо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 бізнесу</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Інформація про органи управління емітента, його посадових осіб, засновників та/або учасників емітента та відсоток їх акцій (часток, паїв)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органи управління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інформація про </w:t>
            </w:r>
            <w:r>
              <w:rPr>
                <w:rFonts w:ascii="Times New Roman CYR" w:hAnsi="Times New Roman CYR" w:cs="Times New Roman CYR"/>
                <w:sz w:val="24"/>
                <w:szCs w:val="24"/>
              </w:rPr>
              <w:t>посадових осіб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щодо освіти та стажу роботи посадових осіб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володіння посадовими особами емітента акціями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винагороди або компенсації, які мають бути виплачені посадовим особам емітента в разі їх звільнення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засновників та/або учасників емітента, відсоток акцій (часток, паїв)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Звіт керівництва (звіт про управл</w:t>
            </w:r>
            <w:r>
              <w:rPr>
                <w:rFonts w:ascii="Times New Roman CYR" w:hAnsi="Times New Roman CYR" w:cs="Times New Roman CYR"/>
                <w:sz w:val="24"/>
                <w:szCs w:val="24"/>
              </w:rPr>
              <w:t>іння)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вірогідні перспективи подальшого розвитку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розвиток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укладення деривативів або вчинення правочинів щодо похідних цінних паперів емітентом, якщо це впливає на оцінку</w:t>
            </w:r>
            <w:r>
              <w:rPr>
                <w:rFonts w:ascii="Times New Roman CYR" w:hAnsi="Times New Roman CYR" w:cs="Times New Roman CYR"/>
                <w:sz w:val="24"/>
                <w:szCs w:val="24"/>
              </w:rPr>
              <w:t xml:space="preserve"> його активів, зобов'язань, фінансового стану і доходів або витрат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завдання та політика емітента щодо управління фінансовими ризиками, у тому числі політика щодо страхування кожного основного виду прогнозованої операції, для якої використовую</w:t>
            </w:r>
            <w:r>
              <w:rPr>
                <w:rFonts w:ascii="Times New Roman CYR" w:hAnsi="Times New Roman CYR" w:cs="Times New Roman CYR"/>
                <w:sz w:val="24"/>
                <w:szCs w:val="24"/>
              </w:rPr>
              <w:t>ться операції хеджування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схильність емітента до цінових ризиків, кредитного ризику, ризику ліквідності та/або ризику грошових потоків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звіт про корпоративне управління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власний кодекс корпоративного управління, яким керується емітент</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w:t>
            </w:r>
            <w:r>
              <w:rPr>
                <w:rFonts w:ascii="Times New Roman CYR" w:hAnsi="Times New Roman CYR" w:cs="Times New Roman CYR"/>
                <w:sz w:val="24"/>
                <w:szCs w:val="24"/>
              </w:rPr>
              <w:t>о практику корпоративного управління, застосовувану понад визначені законодавством вимоги</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проведені загальні збори акціонерів (учасників)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наглядову раду</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виконавчий орган</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опис основних характеристик систем внутрішнього контролю і управління ризиками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перелік осіб, які прямо або опосередковано є власниками значного пакета акцій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обмеження прав участі та голосування акціонер</w:t>
            </w:r>
            <w:r>
              <w:rPr>
                <w:rFonts w:ascii="Times New Roman CYR" w:hAnsi="Times New Roman CYR" w:cs="Times New Roman CYR"/>
                <w:sz w:val="24"/>
                <w:szCs w:val="24"/>
              </w:rPr>
              <w:t>ів (учасників) на загальних зборах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порядок призначення та звільнення посадових осіб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повноваження посадових осіб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12. Інформація про власників пакетів 5 і більше відсотків акцій із зазначенням відсотка, кількості, типу та/або класу належних їм акцій</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 Інформація про зміну акціонерів, яким належать голосуючі акції, розмір пакета яких стає більшим, меншим або рівни</w:t>
            </w:r>
            <w:r>
              <w:rPr>
                <w:rFonts w:ascii="Times New Roman CYR" w:hAnsi="Times New Roman CYR" w:cs="Times New Roman CYR"/>
                <w:sz w:val="24"/>
                <w:szCs w:val="24"/>
              </w:rPr>
              <w:t>м пороговому значенню пакета акцій</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Інформація про зміну осіб, яким належить право голосу за акціями, сумарна кількість прав за якими 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Інформація про зміну осіб, які є власниками фі</w:t>
            </w:r>
            <w:r>
              <w:rPr>
                <w:rFonts w:ascii="Times New Roman CYR" w:hAnsi="Times New Roman CYR" w:cs="Times New Roman CYR"/>
                <w:sz w:val="24"/>
                <w:szCs w:val="24"/>
              </w:rPr>
              <w:t>нансових інструментів, пов'язаних з голосуючими акціями акціонерного товариства, сумарна кількість прав за якими 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16. Інформація про структуру капіталу, в тому числі із зазначенням типів та </w:t>
            </w:r>
            <w:r>
              <w:rPr>
                <w:rFonts w:ascii="Times New Roman CYR" w:hAnsi="Times New Roman CYR" w:cs="Times New Roman CYR"/>
                <w:sz w:val="24"/>
                <w:szCs w:val="24"/>
              </w:rPr>
              <w:t>класів акцій, а також прав та обов'язків акціонерів (учасників)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Інфо</w:t>
            </w:r>
            <w:r>
              <w:rPr>
                <w:rFonts w:ascii="Times New Roman CYR" w:hAnsi="Times New Roman CYR" w:cs="Times New Roman CYR"/>
                <w:sz w:val="24"/>
                <w:szCs w:val="24"/>
              </w:rPr>
              <w:t>рмація про цінні папери емітента (вид, форма випуску, тип, кількість), наявність публічної пропозиції та/або допуску до торгів на фондовій біржі в частині включення до біржового реєстру</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випуски акцій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обліг</w:t>
            </w:r>
            <w:r>
              <w:rPr>
                <w:rFonts w:ascii="Times New Roman CYR" w:hAnsi="Times New Roman CYR" w:cs="Times New Roman CYR"/>
                <w:sz w:val="24"/>
                <w:szCs w:val="24"/>
              </w:rPr>
              <w:t>ації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інші цінні папери, випущені емітентом</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похідні цінні папери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забезпечення випуску боргових цінних паперів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придбання власних акцій емітентом протяго</w:t>
            </w:r>
            <w:r>
              <w:rPr>
                <w:rFonts w:ascii="Times New Roman CYR" w:hAnsi="Times New Roman CYR" w:cs="Times New Roman CYR"/>
                <w:sz w:val="24"/>
                <w:szCs w:val="24"/>
              </w:rPr>
              <w:t>м звітного періоду</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Звіт про стан об'єкта нерухомості (у разі емісії цільових облігацій підприємств, виконання зобов'язань за якими здійснюється шляхом передання об'єкта (частини об'єкта) житлового будівництва)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Інформація про наявність у власнос</w:t>
            </w:r>
            <w:r>
              <w:rPr>
                <w:rFonts w:ascii="Times New Roman CYR" w:hAnsi="Times New Roman CYR" w:cs="Times New Roman CYR"/>
                <w:sz w:val="24"/>
                <w:szCs w:val="24"/>
              </w:rPr>
              <w:t>ті працівників емітента цінних паперів (крім акцій) такого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Інформація про наявність у власності працівників емітента акцій у розмірі понад 0,1 відсотка розміру статутного капіталу такого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Інформація про будь-які обмеження щодо обігу цінних паперів емітента, в тому числі необхідність отримання від емітента або інших власників цінних паперів згоди на відчуження таких цінних паперів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22. Інформація про загальну кількість голосуючих акцій </w:t>
            </w:r>
            <w:r>
              <w:rPr>
                <w:rFonts w:ascii="Times New Roman CYR" w:hAnsi="Times New Roman CYR" w:cs="Times New Roman CYR"/>
                <w:sz w:val="24"/>
                <w:szCs w:val="24"/>
              </w:rPr>
              <w:t>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 Інформація про виплату дивідендів та інших доходів за цінними паперами</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Інформація про господарську та фінансову діяльність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основні засоби емітента (за залишковою вартістю)</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вартості чистих активів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зобов'язання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обсяги виробництва та реалізації основних видів продукції</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собівартість реалізованої продукції</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осіб, послугами яких користується емітент</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25. Інформація про прийняття рішення про попереднє надання </w:t>
            </w:r>
            <w:r>
              <w:rPr>
                <w:rFonts w:ascii="Times New Roman CYR" w:hAnsi="Times New Roman CYR" w:cs="Times New Roman CYR"/>
                <w:sz w:val="24"/>
                <w:szCs w:val="24"/>
              </w:rPr>
              <w:t>згоди на вчинення значних правочинів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26. Інформація про вчинення значних правочинів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Інформація про вчинення правочинів, щодо вчинення яких є заінтересованість</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28. Інформація про осіб, заінтересованих</w:t>
            </w:r>
            <w:r>
              <w:rPr>
                <w:rFonts w:ascii="Times New Roman CYR" w:hAnsi="Times New Roman CYR" w:cs="Times New Roman CYR"/>
                <w:sz w:val="24"/>
                <w:szCs w:val="24"/>
              </w:rPr>
              <w:t xml:space="preserve"> у вчиненні товариством правочинів із заінтересованістю, та обставини, існування яких створює заінтересованість</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Річна фінансова звітність</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30. Відомості про аудиторський звіт незалежного аудитора, наданий за результатами аудиту фінансової звітності</w:t>
            </w:r>
            <w:r>
              <w:rPr>
                <w:rFonts w:ascii="Times New Roman CYR" w:hAnsi="Times New Roman CYR" w:cs="Times New Roman CYR"/>
                <w:sz w:val="24"/>
                <w:szCs w:val="24"/>
              </w:rPr>
              <w:t xml:space="preserve"> емітента аудитором (аудиторською фірмою)</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31. Річна фінансова звітність поручителя (страховика/гаранта), що здійснює забезпечення випуску боргових цінних паперів (за кожним суб'єктом забезпечення окремо)</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 Твердження щодо річної інформації</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 Інформація про акціонерні або корпоративні договори, укладені акціонерами (учасниками) такого емітента, яка наявна в емітента</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34. Інформація про будь-які договори та/або правочини, умовою чинності яких є незмінність осіб, які здійснюють контроль над </w:t>
            </w:r>
            <w:r>
              <w:rPr>
                <w:rFonts w:ascii="Times New Roman CYR" w:hAnsi="Times New Roman CYR" w:cs="Times New Roman CYR"/>
                <w:sz w:val="24"/>
                <w:szCs w:val="24"/>
              </w:rPr>
              <w:t>емітентом</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 Відомості щодо особливої інформації та інформації про іпотечні цінні папери, що виникала протягом звітного періоду</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36. Інформація про випуски іпотечних облігацій</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37. Інформація про склад, структуру і розмір іпотечного покриття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розмір іпотечного покриття та його співвідношення з розміром (сумою) зобов'язань за іпотечними облігаціями з цим іпотечним покриттям</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співвідношення розміру іпотечного покриття з розміром (сумою) зобов'язань за іпотечн</w:t>
            </w:r>
            <w:r>
              <w:rPr>
                <w:rFonts w:ascii="Times New Roman CYR" w:hAnsi="Times New Roman CYR" w:cs="Times New Roman CYR"/>
                <w:sz w:val="24"/>
                <w:szCs w:val="24"/>
              </w:rPr>
              <w:t>ими облігаціями з цим іпотечним покриттям на кожну дату після змін іпотечних активів у складі іпотечного покриття, які відбулися протягом звітного періоду</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заміни іпотечних активів у складі іпотечного покриття або включення нових іпотечн</w:t>
            </w:r>
            <w:r>
              <w:rPr>
                <w:rFonts w:ascii="Times New Roman CYR" w:hAnsi="Times New Roman CYR" w:cs="Times New Roman CYR"/>
                <w:sz w:val="24"/>
                <w:szCs w:val="24"/>
              </w:rPr>
              <w:t>их активів до складу іпотечного покриття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відомості щодо підстав виникнення у емітента іпотечних облігацій прав на іпотечні активи, які складають іпотечне покриття станом на кінець звітного року</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38. Інформація про наявність прострочених боржником строків сплати чергових платежів за кредитними</w:t>
            </w:r>
            <w:r>
              <w:rPr>
                <w:rFonts w:ascii="Times New Roman CYR" w:hAnsi="Times New Roman CYR" w:cs="Times New Roman CYR"/>
                <w:sz w:val="24"/>
                <w:szCs w:val="24"/>
              </w:rPr>
              <w:t xml:space="preserve"> договорами (договорами позики), права вимоги за якими забезпечено іпотеками, які включено до складу іпотечного покриття</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39. Інформація про випуски іпотечних сертифікатів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40. Інформація щодо реєстру іпотечних активів</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41. Основні відомості про ФОН</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42. Інформація про випуски сертифікатів ФОН</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 Інформація про осіб, що володіють сертифікатами ФОН</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44. Розрахунок вартості чистих активів ФОН</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45. Правила ФОН</w:t>
            </w:r>
          </w:p>
        </w:tc>
        <w:tc>
          <w:tcPr>
            <w:tcW w:w="1000" w:type="dxa"/>
            <w:tcBorders>
              <w:top w:val="nil"/>
              <w:left w:val="nil"/>
              <w:bottom w:val="nil"/>
              <w:right w:val="nil"/>
            </w:tcBorders>
            <w:vAlign w:val="bottom"/>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2"/>
            <w:tcBorders>
              <w:top w:val="nil"/>
              <w:left w:val="nil"/>
              <w:bottom w:val="nil"/>
              <w:right w:val="nil"/>
            </w:tcBorders>
            <w:vAlign w:val="bottom"/>
          </w:tcPr>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46. Примітки: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проводило аудиту через вiдсутнiсть виробничої дiяльностi, зменшення обiгових коштiв та значного подорожчання аудиторських послуг у 2021 роцi. Про це НКЦПФР повiдомлено листом  за вих. № 2 вiд 30.03.2021 р.</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Рiшення Наглядової ради або загальни</w:t>
            </w:r>
            <w:r>
              <w:rPr>
                <w:rFonts w:ascii="Times New Roman CYR" w:hAnsi="Times New Roman CYR" w:cs="Times New Roman CYR"/>
                <w:sz w:val="24"/>
                <w:szCs w:val="24"/>
              </w:rPr>
              <w:t>х зборiв акцiонерiв щодо затвердження рiчної iнформацiї немає.</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дозволiв та лiцензiй не отримувало.</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входить до об'єднань пiдприємств, не приймає участi в створеннi iнших юридичних осiб.</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Корпоративного секретаря немає.</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Посугами рейти</w:t>
            </w:r>
            <w:r>
              <w:rPr>
                <w:rFonts w:ascii="Times New Roman CYR" w:hAnsi="Times New Roman CYR" w:cs="Times New Roman CYR"/>
                <w:sz w:val="24"/>
                <w:szCs w:val="24"/>
              </w:rPr>
              <w:t>нгового агенства Товариство не користується.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має фiлiй або iнших вiдокремлених структурних пiдроздiлiв.</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Послугами депозитарiя, зберiгача та аудитора емiтент не користується.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Судових справ проти Товариства немає. Штрафнi санкцiї у 2020 роцi не</w:t>
            </w:r>
            <w:r>
              <w:rPr>
                <w:rFonts w:ascii="Times New Roman CYR" w:hAnsi="Times New Roman CYR" w:cs="Times New Roman CYR"/>
                <w:sz w:val="24"/>
                <w:szCs w:val="24"/>
              </w:rPr>
              <w:t xml:space="preserve"> виплачувались.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Винагороди або компенсацiї посадовим особам у разi їх звiльнення не виплачувались.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Товариствi немає Наглядової ради та ревiзiйної комiсiї. Є тiльки комiсiя з припинення.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Iнформацiї про змiну осiб, яким належить право голосу за акцiями, су</w:t>
            </w:r>
            <w:r>
              <w:rPr>
                <w:rFonts w:ascii="Times New Roman CYR" w:hAnsi="Times New Roman CYR" w:cs="Times New Roman CYR"/>
                <w:sz w:val="24"/>
                <w:szCs w:val="24"/>
              </w:rPr>
              <w:t xml:space="preserve">марна кiлькiсть прав за </w:t>
            </w:r>
            <w:r>
              <w:rPr>
                <w:rFonts w:ascii="Times New Roman CYR" w:hAnsi="Times New Roman CYR" w:cs="Times New Roman CYR"/>
                <w:sz w:val="24"/>
                <w:szCs w:val="24"/>
              </w:rPr>
              <w:lastRenderedPageBreak/>
              <w:t>якими стає бiльшою, меншою або рiвною пороговому значенню пакета акцiй немає.</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Дивiденди та iншi доходи за цiнними паперами Товариством не виплачувались.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Облiгацiї, борговi цiннi папери та будь-якi iншi цiннi папери (крiм простих iме</w:t>
            </w:r>
            <w:r>
              <w:rPr>
                <w:rFonts w:ascii="Times New Roman CYR" w:hAnsi="Times New Roman CYR" w:cs="Times New Roman CYR"/>
                <w:sz w:val="24"/>
                <w:szCs w:val="24"/>
              </w:rPr>
              <w:t>нних акцiй) Товариством не випускались.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Iнформацiї про наявнiсть у власностi працiвникiв емiтента цiнних паперiв (крiм акцiй) такого емiтента немає.</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Викуп акцiй власного випуску не проводилось.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Iнформацiї щодо обмежень обiгу цiнних паперiв або обмежень пра</w:t>
            </w:r>
            <w:r>
              <w:rPr>
                <w:rFonts w:ascii="Times New Roman CYR" w:hAnsi="Times New Roman CYR" w:cs="Times New Roman CYR"/>
                <w:sz w:val="24"/>
                <w:szCs w:val="24"/>
              </w:rPr>
              <w:t>ва голосу за цiнними паперами Товариства немає.</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користується послугами зберiгача, депозитарiя та аудитора. Товариство знаходиться в стадiї лiквiдацiї.</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Попереднього надання згоди на вчинення значних правочинiв не надавалось.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Вчинення значних п</w:t>
            </w:r>
            <w:r>
              <w:rPr>
                <w:rFonts w:ascii="Times New Roman CYR" w:hAnsi="Times New Roman CYR" w:cs="Times New Roman CYR"/>
                <w:sz w:val="24"/>
                <w:szCs w:val="24"/>
              </w:rPr>
              <w:t>равочинiв не вiдбувалось.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Вчинення правочинiв, щодо вчинення яких є заiнтересованiсть не вiдбувалось.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Гарантiї третiх осiб не надавались.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2012 загальними зборами акцiонерiв прийнято рiшення про лiквiдацiю товариства. Документи системи реєсту ВАТ "Елегал"</w:t>
            </w:r>
            <w:r>
              <w:rPr>
                <w:rFonts w:ascii="Times New Roman CYR" w:hAnsi="Times New Roman CYR" w:cs="Times New Roman CYR"/>
                <w:sz w:val="24"/>
                <w:szCs w:val="24"/>
              </w:rPr>
              <w:t xml:space="preserve"> у 2012 р. переданi   на збереження р до  ПАТ "Нацiональний депозитарiй ". Загальнi збори у 2019 роцi не проводились. Особлива iнформацiя не подавалась.Розрахунок чистих активiв - порушенi вимоги частини третьої статтi 155 Цивiльного кодексу України. Вимаг</w:t>
            </w:r>
            <w:r>
              <w:rPr>
                <w:rFonts w:ascii="Times New Roman CYR" w:hAnsi="Times New Roman CYR" w:cs="Times New Roman CYR"/>
                <w:sz w:val="24"/>
                <w:szCs w:val="24"/>
              </w:rPr>
              <w:t>ається зменшення статутного капiталу.</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Загальнi збори акцiонерiв у 2020 роцi не проводилисьу зв'язку зважким фiнансовим становищем та карантином.</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ІІІ. Основні відомості про емітента</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Повне найменування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Вiдкрите акцiонерне товариство "Елегал"</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Скорочене найменування (за наявності)</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ВАТ "Елегал"</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Дата проведення державної реєстрації</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11.12.2008</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Територія (область)</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Львівська обл.</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5. Статутний капітал (грн) </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3605093,5</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Відсоток акцій у статутному капіталі, що належать державі</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Відс</w:t>
      </w:r>
      <w:r>
        <w:rPr>
          <w:rFonts w:ascii="Times New Roman CYR" w:hAnsi="Times New Roman CYR" w:cs="Times New Roman CYR"/>
          <w:b/>
          <w:bCs/>
          <w:sz w:val="24"/>
          <w:szCs w:val="24"/>
        </w:rPr>
        <w:t>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Середня кількість працівників (осіб)</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7</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Основні види діяльності із зазначенням найменування виду діяльності та коду за КВЕД</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32.10.0 - Виробництво електро та радiокомпонентiв</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10. Банки, що обслуговують емітента</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найменування банку (філії, відділення банку), який обслуговує емітента за поточ</w:t>
      </w:r>
      <w:r>
        <w:rPr>
          <w:rFonts w:ascii="Times New Roman CYR" w:hAnsi="Times New Roman CYR" w:cs="Times New Roman CYR"/>
          <w:sz w:val="24"/>
          <w:szCs w:val="24"/>
        </w:rPr>
        <w:t>ним рахунком у національній валюті</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Вiддiлення "Червоноградська фiлiя"Захiдного ГРУ "Приват Банк" м. Львiв, МФО 325321</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IBAN</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UA98/325321/0000026000053815300</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поточний рахунок</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UA98/325321/0000026000053815300</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найменування банку (філії, відділення ба</w:t>
      </w:r>
      <w:r>
        <w:rPr>
          <w:rFonts w:ascii="Times New Roman CYR" w:hAnsi="Times New Roman CYR" w:cs="Times New Roman CYR"/>
          <w:sz w:val="24"/>
          <w:szCs w:val="24"/>
        </w:rPr>
        <w:t>нку), який обслуговує емітента за поточним рахунком у іноземній валюті</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Вiддiлення "Червоноградська фiлiя"Захiдного ГРУ "Приват Банк" м. Львiв, МФО 325321</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IBAN</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UA98/325321/0000026000053815300</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поточний рахунок</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UA98/325321/0000026000053815300</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 Оп</w:t>
      </w:r>
      <w:r>
        <w:rPr>
          <w:rFonts w:ascii="Times New Roman CYR" w:hAnsi="Times New Roman CYR" w:cs="Times New Roman CYR"/>
          <w:b/>
          <w:bCs/>
          <w:sz w:val="28"/>
          <w:szCs w:val="28"/>
        </w:rPr>
        <w:t>ис бізнесу</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Зміни в організаційній структурі відповідно до попередніх звітних періодів</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має наступнi пiдроздiли: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Складальний цех;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Iнструментальний цех;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Гальванiчний цех</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4.Механозаготiвельний цех</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Cередньооблікова чисельність штатних працівників облікового складу (осіб), середня чисельність позаштатних працівників та осіб, які працюють за сумісництвом (осіб), чисельність працівників, які працюють на умовах неповного робочого часу (дня, тижня) (осіб)</w:t>
      </w:r>
      <w:r>
        <w:rPr>
          <w:rFonts w:ascii="Times New Roman CYR" w:hAnsi="Times New Roman CYR" w:cs="Times New Roman CYR"/>
          <w:b/>
          <w:bCs/>
          <w:sz w:val="24"/>
          <w:szCs w:val="24"/>
        </w:rPr>
        <w:t xml:space="preserve">, фонду оплати праці. Крім того, зазначаються факти зміни розміру фонду оплати праці, його збільшення або зменшення відносно попереднього року. Зазначається кадрова </w:t>
      </w:r>
      <w:r>
        <w:rPr>
          <w:rFonts w:ascii="Times New Roman CYR" w:hAnsi="Times New Roman CYR" w:cs="Times New Roman CYR"/>
          <w:b/>
          <w:bCs/>
          <w:sz w:val="24"/>
          <w:szCs w:val="24"/>
        </w:rPr>
        <w:lastRenderedPageBreak/>
        <w:t>програма емітента, спрямована на забезпечення рівня кваліфікації її працівників операційним</w:t>
      </w:r>
      <w:r>
        <w:rPr>
          <w:rFonts w:ascii="Times New Roman CYR" w:hAnsi="Times New Roman CYR" w:cs="Times New Roman CYR"/>
          <w:b/>
          <w:bCs/>
          <w:sz w:val="24"/>
          <w:szCs w:val="24"/>
        </w:rPr>
        <w:t xml:space="preserve"> потребам емітента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Середньоспискова чисельнiсть штатних працiвникiв -7 чол.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Фонд оплати працi -286,4 тис.грн .У порiвняннi з 2019 р .фонд оплати працi збiльшився.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Належність емітента до будь-яких об'єднань підприємств, найменування та місцезнаходження об</w:t>
      </w:r>
      <w:r>
        <w:rPr>
          <w:rFonts w:ascii="Times New Roman CYR" w:hAnsi="Times New Roman CYR" w:cs="Times New Roman CYR"/>
          <w:b/>
          <w:bCs/>
          <w:sz w:val="24"/>
          <w:szCs w:val="24"/>
        </w:rPr>
        <w:t>'єднання,  зазначаються опис діяльності об'єднання, функції та термін участі емітента у відповідному об'єднанні, позиції емітента в структурі об'єднання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належить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Cпільна діяльність, яку емітент проводить з іншими організаціями, підприємствами, установа</w:t>
      </w:r>
      <w:r>
        <w:rPr>
          <w:rFonts w:ascii="Times New Roman CYR" w:hAnsi="Times New Roman CYR" w:cs="Times New Roman CYR"/>
          <w:b/>
          <w:bCs/>
          <w:sz w:val="24"/>
          <w:szCs w:val="24"/>
        </w:rPr>
        <w:t>ми, при цьому вказуються сума вкладів, мета вкладів (отримання прибутку, інші цілі) та отриманий фінансовий результат за звітний рік по кожному виду спільної діяльності</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проводить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Будь-які пропозиції щодо реорганізації з боку третіх осіб, що мали місце </w:t>
      </w:r>
      <w:r>
        <w:rPr>
          <w:rFonts w:ascii="Times New Roman CYR" w:hAnsi="Times New Roman CYR" w:cs="Times New Roman CYR"/>
          <w:b/>
          <w:bCs/>
          <w:sz w:val="24"/>
          <w:szCs w:val="24"/>
        </w:rPr>
        <w:t>протягом звітного періоду, умови та результати цих пропозицій</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Пропозицiй щодо реорганiзацiї з боку третiх осiб  не поступало</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облікової політики (метод нарахування амортизації, метод оцінки вартості запасів, метод обліку та оцінки вартості фін</w:t>
      </w:r>
      <w:r>
        <w:rPr>
          <w:rFonts w:ascii="Times New Roman CYR" w:hAnsi="Times New Roman CYR" w:cs="Times New Roman CYR"/>
          <w:b/>
          <w:bCs/>
          <w:sz w:val="24"/>
          <w:szCs w:val="24"/>
        </w:rPr>
        <w:t>ансових інвестицій тощо)</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Бухгалтерський облiк ВАТ "ЕЛЕГАЛ" ведеться за журнально-ордерною формою рахiвництва згiдно затвердженого плану рахункiв, первинних документiв, вiдомостей й журналiв-ордерiв i в цiлому є задовiльним. Його органiзацiя вiдповiдає дiюч</w:t>
      </w:r>
      <w:r>
        <w:rPr>
          <w:rFonts w:ascii="Times New Roman CYR" w:hAnsi="Times New Roman CYR" w:cs="Times New Roman CYR"/>
          <w:sz w:val="24"/>
          <w:szCs w:val="24"/>
        </w:rPr>
        <w:t>им положенням та нормативним актам. Належно документально проведено рiчну iнвентаризацiї основних засобiв, товарiв, матерiалiв, розрахункiв, грошових коштiв вiдповiдно до наказу по ВАТ.Згiдно постанов Кабiнету Мiнiстрiв України вiд 07.05.1992 року № 229, в</w:t>
      </w:r>
      <w:r>
        <w:rPr>
          <w:rFonts w:ascii="Times New Roman CYR" w:hAnsi="Times New Roman CYR" w:cs="Times New Roman CYR"/>
          <w:sz w:val="24"/>
          <w:szCs w:val="24"/>
        </w:rPr>
        <w:t>iд 03.08. 1993 року № 598, вiд 17.01.1995 року № 34, та вiд 16.05.1996 року № 523 було проведено iндексацiї основних засобiв iз правильним застосуванням коефiцiєнтiв та вiдображення сум дооцiнки в облiку. Залишок суми iндексацiї складає 5222,8 тис. грн., i</w:t>
      </w:r>
      <w:r>
        <w:rPr>
          <w:rFonts w:ascii="Times New Roman CYR" w:hAnsi="Times New Roman CYR" w:cs="Times New Roman CYR"/>
          <w:sz w:val="24"/>
          <w:szCs w:val="24"/>
        </w:rPr>
        <w:t xml:space="preserve"> подається в пасивi першого роздiлу балансу по рахунку "Iнший Додатковий капiтал".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Нарахування амортизацiї основних засобiв проводиться згiдно вимог П(с)БО № 7 "Основнi засоби" та вiдповiдає ст.8 Закону України "Про оподаткування прибутку пiдприємств" з р</w:t>
      </w:r>
      <w:r>
        <w:rPr>
          <w:rFonts w:ascii="Times New Roman CYR" w:hAnsi="Times New Roman CYR" w:cs="Times New Roman CYR"/>
          <w:sz w:val="24"/>
          <w:szCs w:val="24"/>
        </w:rPr>
        <w:t>озбивкою на три групи. Порушень не встановлено, за даними вiдомостi по амортизацiї за четвертий квартал 2010року. Нематерiальнi активи вiдсутнi.</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Затрати послуг облiковуються на рахунку 23 "Основне виробництво " в журналi-ордерi № 10 за статтями затрат, пер</w:t>
      </w:r>
      <w:r>
        <w:rPr>
          <w:rFonts w:ascii="Times New Roman CYR" w:hAnsi="Times New Roman CYR" w:cs="Times New Roman CYR"/>
          <w:sz w:val="24"/>
          <w:szCs w:val="24"/>
        </w:rPr>
        <w:t>едбачених Типовим положенням по плануванню, облiку й калькулювання собiвартостi та П(с)БО № 16 "Витрати".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види продукції або послуг, що їх виробляє чи надає емітент, за рахунок продажу яких емітент отримав 10 або більше відсотків доходу за звітний</w:t>
      </w:r>
      <w:r>
        <w:rPr>
          <w:rFonts w:ascii="Times New Roman CYR" w:hAnsi="Times New Roman CYR" w:cs="Times New Roman CYR"/>
          <w:b/>
          <w:bCs/>
          <w:sz w:val="24"/>
          <w:szCs w:val="24"/>
        </w:rPr>
        <w:t xml:space="preserve"> рік, у тому числі обсяги виробництва (у натуральному та грошовому виразі), середньо реалізаційні ціни, суму виручки, окремо надається інформація про загальну суму експорту, а також частку експорту в загальному обсязі продажів, перспективність виробництва </w:t>
      </w:r>
      <w:r>
        <w:rPr>
          <w:rFonts w:ascii="Times New Roman CYR" w:hAnsi="Times New Roman CYR" w:cs="Times New Roman CYR"/>
          <w:b/>
          <w:bCs/>
          <w:sz w:val="24"/>
          <w:szCs w:val="24"/>
        </w:rPr>
        <w:t>окремих товарів, виконання робіт та надання послуг; залежність від сезонних змін; про основні ринки збуту та основних клієнтів; основні ризики в діяльності емітента, заходи емітента щодо зменшення ризиків, захисту своєї діяльності та розширення виробництва</w:t>
      </w:r>
      <w:r>
        <w:rPr>
          <w:rFonts w:ascii="Times New Roman CYR" w:hAnsi="Times New Roman CYR" w:cs="Times New Roman CYR"/>
          <w:b/>
          <w:bCs/>
          <w:sz w:val="24"/>
          <w:szCs w:val="24"/>
        </w:rPr>
        <w:t xml:space="preserve"> та ринків збуту; про канали збуту й методи продажу, які використовує емітент; про джерела сировини, їх доступність та динаміку цін; інформацію про особливості стану розвитку галузі виробництва, в якій здійснює діяльність емітент, рівень впровадження нових</w:t>
      </w:r>
      <w:r>
        <w:rPr>
          <w:rFonts w:ascii="Times New Roman CYR" w:hAnsi="Times New Roman CYR" w:cs="Times New Roman CYR"/>
          <w:b/>
          <w:bCs/>
          <w:sz w:val="24"/>
          <w:szCs w:val="24"/>
        </w:rPr>
        <w:t xml:space="preserve"> технологій, нових товарів, його становище на ринку; інформацію про конкуренцію в галузі, про </w:t>
      </w:r>
      <w:r>
        <w:rPr>
          <w:rFonts w:ascii="Times New Roman CYR" w:hAnsi="Times New Roman CYR" w:cs="Times New Roman CYR"/>
          <w:b/>
          <w:bCs/>
          <w:sz w:val="24"/>
          <w:szCs w:val="24"/>
        </w:rPr>
        <w:lastRenderedPageBreak/>
        <w:t>особливості продукції (послуг) емітента; перспективні плани розвитку емітента; кількість постачальників за основними видами сировини та матеріалів, що займають бі</w:t>
      </w:r>
      <w:r>
        <w:rPr>
          <w:rFonts w:ascii="Times New Roman CYR" w:hAnsi="Times New Roman CYR" w:cs="Times New Roman CYR"/>
          <w:b/>
          <w:bCs/>
          <w:sz w:val="24"/>
          <w:szCs w:val="24"/>
        </w:rPr>
        <w:t xml:space="preserve">льше 10 відсотків у загальному обсязі постачання, у разі якщо емітент здійснює свою діяльність у декількох країнах, необхідно зазначити ті країни, у яких емітентом отримано 10 або більше відсотків від загальної суми доходів за звітний рік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Виробничi примiщ</w:t>
      </w:r>
      <w:r>
        <w:rPr>
          <w:rFonts w:ascii="Times New Roman CYR" w:hAnsi="Times New Roman CYR" w:cs="Times New Roman CYR"/>
          <w:sz w:val="24"/>
          <w:szCs w:val="24"/>
        </w:rPr>
        <w:t>ення здаються в оренду</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придбання або відчуження активів за останні п'ять років. Якщо підприємство планує будь-які значні інвестиції або придбання, пов'язані з його господарською діяльністю, їх необхідно описати, включаючи суттєві умови придбання а</w:t>
      </w:r>
      <w:r>
        <w:rPr>
          <w:rFonts w:ascii="Times New Roman CYR" w:hAnsi="Times New Roman CYR" w:cs="Times New Roman CYR"/>
          <w:b/>
          <w:bCs/>
          <w:sz w:val="24"/>
          <w:szCs w:val="24"/>
        </w:rPr>
        <w:t xml:space="preserve">бо інвестиції, їх вартість і спосіб фінансування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Вiдчуджено активiв на загальну суму 489,0 тис. 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Основні засоби емітента, включаючи об'єкти оренди та будь-які значні правочини емітента щодо них; виробничі потужності та ступінь використання обладнання; спосіб утримання активів, місцезнаходження основних засобів. Крім того, необхідно описати екологічні </w:t>
      </w:r>
      <w:r>
        <w:rPr>
          <w:rFonts w:ascii="Times New Roman CYR" w:hAnsi="Times New Roman CYR" w:cs="Times New Roman CYR"/>
          <w:b/>
          <w:bCs/>
          <w:sz w:val="24"/>
          <w:szCs w:val="24"/>
        </w:rPr>
        <w:t>питання, що можуть позначитися на використанні активів підприємства, плани капітального будівництва, розширення або удосконалення основних засобів, характер та причини таких планів, суми видатків, у тому числі вже зроблених, опис методу фінансування, прогн</w:t>
      </w:r>
      <w:r>
        <w:rPr>
          <w:rFonts w:ascii="Times New Roman CYR" w:hAnsi="Times New Roman CYR" w:cs="Times New Roman CYR"/>
          <w:b/>
          <w:bCs/>
          <w:sz w:val="24"/>
          <w:szCs w:val="24"/>
        </w:rPr>
        <w:t>озні дати початку та закінчення діяльності та очікуване зростання виробничих потужностей після її завершення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Мiсцезнаходження основних засобiв - Львiвська обл.. Великi Мости, вул. Львiвська, 2а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Проблеми, які впливають на діяльність емітента; ступінь залеж</w:t>
      </w:r>
      <w:r>
        <w:rPr>
          <w:rFonts w:ascii="Times New Roman CYR" w:hAnsi="Times New Roman CYR" w:cs="Times New Roman CYR"/>
          <w:b/>
          <w:bCs/>
          <w:sz w:val="24"/>
          <w:szCs w:val="24"/>
        </w:rPr>
        <w:t>ності від законодавчих або економічних обмежень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проблеми - вiдсутнiсть замовлень, зношенiсть обладнання, нестабiльне податкове законодавство.</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політики щодо фінансування діяльності емітента, достатність робочого капіталу для поточних п</w:t>
      </w:r>
      <w:r>
        <w:rPr>
          <w:rFonts w:ascii="Times New Roman CYR" w:hAnsi="Times New Roman CYR" w:cs="Times New Roman CYR"/>
          <w:b/>
          <w:bCs/>
          <w:sz w:val="24"/>
          <w:szCs w:val="24"/>
        </w:rPr>
        <w:t>отреб, можливі шляхи покращення ліквідності за оцінками фахівців емітента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Стратегiя подальшої дiяльностi Товариства направлена на пошук iнвестора по органiзацiї виробництва та створення спiльного пiдприємства.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Вартість укладених, але ще не виконаних догов</w:t>
      </w:r>
      <w:r>
        <w:rPr>
          <w:rFonts w:ascii="Times New Roman CYR" w:hAnsi="Times New Roman CYR" w:cs="Times New Roman CYR"/>
          <w:b/>
          <w:bCs/>
          <w:sz w:val="24"/>
          <w:szCs w:val="24"/>
        </w:rPr>
        <w:t>орів (контрактів) на кінець звітного періоду (загальний підсумок) та очікувані прибутки від виконання цих договорів</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Укладених, але не виконаних договорiв немає</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Стратегія подальшої діяльності емітента щонайменше на рік (щодо розширення виробництва, реконст</w:t>
      </w:r>
      <w:r>
        <w:rPr>
          <w:rFonts w:ascii="Times New Roman CYR" w:hAnsi="Times New Roman CYR" w:cs="Times New Roman CYR"/>
          <w:b/>
          <w:bCs/>
          <w:sz w:val="24"/>
          <w:szCs w:val="24"/>
        </w:rPr>
        <w:t>рукції, поліпшення фінансового стану, опис істотних факторів, які можуть вплинути на діяльність емітента в майбутньому)</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Пошук iнвестора по органiзацiї виробництва та створення спiльного пiдприємства.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політики емітента щодо досліджень та розробок, вка</w:t>
      </w:r>
      <w:r>
        <w:rPr>
          <w:rFonts w:ascii="Times New Roman CYR" w:hAnsi="Times New Roman CYR" w:cs="Times New Roman CYR"/>
          <w:b/>
          <w:bCs/>
          <w:sz w:val="24"/>
          <w:szCs w:val="24"/>
        </w:rPr>
        <w:t>зати суму витрат на дослідження та розробку за звітний рік</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Дослiдження та розробки не проводились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Інша інформація, яка може бути істотною для оцінки інвестором фінансового стану та результатів діяльності емітента, у тому числі, за наявності, інформацію пр</w:t>
      </w:r>
      <w:r>
        <w:rPr>
          <w:rFonts w:ascii="Times New Roman CYR" w:hAnsi="Times New Roman CYR" w:cs="Times New Roman CYR"/>
          <w:b/>
          <w:bCs/>
          <w:sz w:val="24"/>
          <w:szCs w:val="24"/>
        </w:rPr>
        <w:t>о результати та аналіз господарювання емітента за останні три роки у формі аналітичної довідки в довільній формі</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Загалом фiнансовий стан ВАТ "ЕЛЕГАЛ" нестiйкий i збитковий. Зборами акцiонерiв вiд 29.03.2012.р. прийнято рiшення про лiквiдацiю пiдприємства.</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IV. Інформація про 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40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Орган управління</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Структура</w:t>
            </w:r>
          </w:p>
        </w:tc>
        <w:tc>
          <w:tcPr>
            <w:tcW w:w="4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Персональний склад</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Комiсiя з припинення</w:t>
            </w:r>
          </w:p>
        </w:tc>
        <w:tc>
          <w:tcPr>
            <w:tcW w:w="4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комiсiї; 3 члени комiсiї</w:t>
            </w:r>
          </w:p>
        </w:tc>
        <w:tc>
          <w:tcPr>
            <w:tcW w:w="4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комiсiї з припинення-Канарейкiн Володимир Iванович;</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Члени комiсiї з припинення - Коцюба Зеновiй Васильович; Скоропад Любов Степанiвна; Шийка Марiя Якiвна</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 Інформація про посадових осіб емітента</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щодо освіти та стажу роботи посадових осіб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900"/>
        <w:gridCol w:w="2500"/>
        <w:gridCol w:w="3000"/>
        <w:gridCol w:w="850"/>
        <w:gridCol w:w="2250"/>
        <w:gridCol w:w="1000"/>
        <w:gridCol w:w="3050"/>
        <w:gridCol w:w="1550"/>
      </w:tblGrid>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з/п</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Рік народження</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Освіта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Стаж роботи (років)</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підприємства, ідентифікаційний код юридичної особи та посада, яку займав</w:t>
            </w:r>
          </w:p>
        </w:tc>
        <w:tc>
          <w:tcPr>
            <w:tcW w:w="155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набуття повноважень та термін, на який обрано (призначено)</w:t>
            </w:r>
          </w:p>
        </w:tc>
      </w:tr>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55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комiсiї з припинення</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Канарейкiн Володимир Iванович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1950</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ВАТ "ЕЛЕГАЛ", 14308612, Голова спостережної ради,</w:t>
            </w:r>
          </w:p>
        </w:tc>
        <w:tc>
          <w:tcPr>
            <w:tcW w:w="155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29.03.2012, безтермiново</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Непогашеної судимостi за корисливi та посадовi з</w:t>
            </w:r>
            <w:r>
              <w:rPr>
                <w:rFonts w:ascii="Times New Roman CYR" w:hAnsi="Times New Roman CYR" w:cs="Times New Roman CYR"/>
              </w:rPr>
              <w:t>лочини немає. Виконує обов'язки Голови комiсiї з припинення. Посадовою особою не надано згоду на розкриття паспортних даних.</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комiсiї з припинення</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Коцюба Зеновiй Васильович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1953</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 "Тепел", 14308612, начальник ВТК</w:t>
            </w:r>
          </w:p>
        </w:tc>
        <w:tc>
          <w:tcPr>
            <w:tcW w:w="155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29.03.2012, безтермiново</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Непогашеної судимостi за корисливi та посадовi злочини немає. Посадовi  повноваження i обов'язки  визначенi  Статутом Товариства. Посадовою особою не надано згоду на розкриття паспортних даних.</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комiсiї з припинення</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Скоропад Любов Степанiвна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1957</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ВАТ "Елегал", 14308612, головний бухгалтер</w:t>
            </w:r>
          </w:p>
        </w:tc>
        <w:tc>
          <w:tcPr>
            <w:tcW w:w="155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29.03.2012, безтермiново</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Непогашеної судимостi за корисливi та посадовi злочини немає. Виконує обов'язки члена комiсiї з припинення. Посадовою особою не надано згоду на розкриття паспортних даних.</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комiсiї з припинення</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Шийка Марiя Якiвна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1952</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середня-спецiальна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ВАТ "Елегал", 14308612, начальник вiдiлу кадрiв</w:t>
            </w:r>
          </w:p>
        </w:tc>
        <w:tc>
          <w:tcPr>
            <w:tcW w:w="155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29.03.2012, безтермiново</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Винагороди не отримувала. непогашеної судимостi за корисливi та посадовi злочини немає. Виконує обов'язки члена комiсiї з припинення. Посадовою особою не надано згоду на розкриття паспортних даних.</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2. Інформація про володіння посадовими особами емітента акціями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050"/>
        <w:gridCol w:w="4400"/>
        <w:gridCol w:w="1200"/>
        <w:gridCol w:w="1300"/>
        <w:gridCol w:w="2400"/>
        <w:gridCol w:w="2771"/>
      </w:tblGrid>
      <w:tr w:rsidR="00000000">
        <w:tblPrEx>
          <w:tblCellMar>
            <w:top w:w="0" w:type="dxa"/>
            <w:bottom w:w="0" w:type="dxa"/>
          </w:tblCellMar>
        </w:tblPrEx>
        <w:trPr>
          <w:trHeight w:val="200"/>
        </w:trPr>
        <w:tc>
          <w:tcPr>
            <w:tcW w:w="3050" w:type="dxa"/>
            <w:vMerge w:val="restart"/>
            <w:tcBorders>
              <w:top w:val="single" w:sz="6" w:space="0" w:color="auto"/>
              <w:bottom w:val="nil"/>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44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ім'я, по батькові фізичної особи або повне найменування юридичної особи </w:t>
            </w:r>
          </w:p>
        </w:tc>
        <w:tc>
          <w:tcPr>
            <w:tcW w:w="12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Кількість акцій (шт.)</w:t>
            </w:r>
          </w:p>
        </w:tc>
        <w:tc>
          <w:tcPr>
            <w:tcW w:w="13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5171"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050" w:type="dxa"/>
            <w:vMerge/>
            <w:tcBorders>
              <w:top w:val="nil"/>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44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12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13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771"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050" w:type="dxa"/>
            <w:tcBorders>
              <w:top w:val="nil"/>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4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771"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комiсiї з припинення</w:t>
            </w:r>
          </w:p>
        </w:tc>
        <w:tc>
          <w:tcPr>
            <w:tcW w:w="4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Канарейкiн Володимир Iванович</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1 395 501</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9,677287</w:t>
            </w:r>
          </w:p>
        </w:tc>
        <w:tc>
          <w:tcPr>
            <w:tcW w:w="2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1 395 501</w:t>
            </w:r>
          </w:p>
        </w:tc>
        <w:tc>
          <w:tcPr>
            <w:tcW w:w="277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комiсiї з припинення</w:t>
            </w:r>
          </w:p>
        </w:tc>
        <w:tc>
          <w:tcPr>
            <w:tcW w:w="4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Коцюба Зеновiй Васильович</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5 538</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0,038404</w:t>
            </w:r>
          </w:p>
        </w:tc>
        <w:tc>
          <w:tcPr>
            <w:tcW w:w="2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5 538</w:t>
            </w:r>
          </w:p>
        </w:tc>
        <w:tc>
          <w:tcPr>
            <w:tcW w:w="277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комiсiї з припинення</w:t>
            </w:r>
          </w:p>
        </w:tc>
        <w:tc>
          <w:tcPr>
            <w:tcW w:w="4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Скоропад Любов Степанiвна</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комiсiї з припинення</w:t>
            </w:r>
          </w:p>
        </w:tc>
        <w:tc>
          <w:tcPr>
            <w:tcW w:w="4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Шийка Марiя Якiвна</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0,000153</w:t>
            </w:r>
          </w:p>
        </w:tc>
        <w:tc>
          <w:tcPr>
            <w:tcW w:w="2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w:t>
            </w:r>
          </w:p>
        </w:tc>
        <w:tc>
          <w:tcPr>
            <w:tcW w:w="277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 Інформація про засновників та/або учасників емітента та відсоток акцій (часток, паїв)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2920"/>
        <w:gridCol w:w="1700"/>
        <w:gridCol w:w="3300"/>
        <w:gridCol w:w="2000"/>
      </w:tblGrid>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w:t>
            </w:r>
            <w:r>
              <w:rPr>
                <w:rFonts w:ascii="Times New Roman CYR" w:hAnsi="Times New Roman CYR" w:cs="Times New Roman CYR"/>
                <w:b/>
                <w:bCs/>
              </w:rPr>
              <w:t>ання юридичної особи засновника та/або учасника</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 засновника та/або учасника</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РВ ФДМУ у Львiвськiй областi</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20823070</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79000, Львівська обл., Галицький р-н, м. Львiв, вул. С. Стрiльцiв, 3</w:t>
            </w:r>
          </w:p>
        </w:tc>
        <w:tc>
          <w:tcPr>
            <w:tcW w:w="2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фізичної особи</w:t>
            </w:r>
          </w:p>
        </w:tc>
        <w:tc>
          <w:tcPr>
            <w:tcW w:w="2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VII. Звіт керівництва (звіт про управління)</w:t>
      </w:r>
    </w:p>
    <w:p w:rsidR="00000000" w:rsidRDefault="00384175">
      <w:pPr>
        <w:widowControl w:val="0"/>
        <w:autoSpaceDE w:val="0"/>
        <w:autoSpaceDN w:val="0"/>
        <w:adjustRightInd w:val="0"/>
        <w:spacing w:after="0" w:line="240" w:lineRule="auto"/>
        <w:jc w:val="center"/>
        <w:rPr>
          <w:rFonts w:ascii="Times New Roman CYR" w:hAnsi="Times New Roman CYR" w:cs="Times New Roman CYR"/>
          <w:sz w:val="28"/>
          <w:szCs w:val="28"/>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Вірогідні перспективи подальшого розвитку емітента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знаходиться в стадiї лiквiдацiї</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Інформація про розвиток емітента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знаходиться в стадiї лiквiдацiї</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 зокрема інформацію про:</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деривативи не укладались, </w:t>
      </w:r>
      <w:r>
        <w:rPr>
          <w:rFonts w:ascii="Times New Roman CYR" w:hAnsi="Times New Roman CYR" w:cs="Times New Roman CYR"/>
          <w:sz w:val="24"/>
          <w:szCs w:val="24"/>
        </w:rPr>
        <w:t>правочини щодо похiдних цiнних паперiв емiтентом не укладались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1) завдання та політику емітента щодо управління фінансовими ризиками, у тому числі політику щодо страхування кожного основного виду прогнозованої операції, для якої використовуються операції </w:t>
      </w:r>
      <w:r>
        <w:rPr>
          <w:rFonts w:ascii="Times New Roman CYR" w:hAnsi="Times New Roman CYR" w:cs="Times New Roman CYR"/>
          <w:b/>
          <w:bCs/>
          <w:sz w:val="24"/>
          <w:szCs w:val="24"/>
        </w:rPr>
        <w:t>хеджування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операцiй хеджування не здiйснювалось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схильність емітента до цінових ризиків, кредитного ризику, ризику ліквідності та/або ризику грошових потоків</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не схильний до цiнових ризикiв, кредитного ризику, ризику лiквiдностi та/або ризику гро</w:t>
      </w:r>
      <w:r>
        <w:rPr>
          <w:rFonts w:ascii="Times New Roman CYR" w:hAnsi="Times New Roman CYR" w:cs="Times New Roman CYR"/>
          <w:sz w:val="24"/>
          <w:szCs w:val="24"/>
        </w:rPr>
        <w:t>шових потокiв</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4. Звіт про корпоративне управління: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посилання на: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власний кодекс корпоративного управління, яким керується емітент</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знаходиться в стадiї лiквiдацiї</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кодекс корпоративного управління фондової біржі, об'єднання юридичних осіб або ін</w:t>
      </w:r>
      <w:r>
        <w:rPr>
          <w:rFonts w:ascii="Times New Roman CYR" w:hAnsi="Times New Roman CYR" w:cs="Times New Roman CYR"/>
          <w:b/>
          <w:bCs/>
          <w:sz w:val="24"/>
          <w:szCs w:val="24"/>
        </w:rPr>
        <w:t>ший кодекс корпоративного управління, який емітент добровільно вирішив застосовувати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емiтент знаходиться в стадiї лiквiдацiї</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вся відповідна інформація про практику корпоративного управління, застосовувану понад визначені законодавством вимоги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знах</w:t>
      </w:r>
      <w:r>
        <w:rPr>
          <w:rFonts w:ascii="Times New Roman CYR" w:hAnsi="Times New Roman CYR" w:cs="Times New Roman CYR"/>
          <w:sz w:val="24"/>
          <w:szCs w:val="24"/>
        </w:rPr>
        <w:t>одиться в стадiї лiквiдацiї</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2) у разі якщо емітент відхиляється від положень кодексу корпоративного управління, зазначеного в абзацах другому або третьому пункту 1 цієї частини, надайте пояснення, від яких частин кодексу корпоративного управління такий емітент відхиляється і причини </w:t>
      </w:r>
      <w:r>
        <w:rPr>
          <w:rFonts w:ascii="Times New Roman CYR" w:hAnsi="Times New Roman CYR" w:cs="Times New Roman CYR"/>
          <w:b/>
          <w:bCs/>
          <w:sz w:val="24"/>
          <w:szCs w:val="24"/>
        </w:rPr>
        <w:t>таких відхилень. У разі якщо емітент прийняв рішення не застосовувати деякі положення кодексу корпоративного управління, зазначеного в абзацах другому або третьому пункту 1 цієї частини, обґрунтуйте причини таких дій</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знаходиться в стадiї лiквiдацiї</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загальні збори акціонерів (учасників)</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2000"/>
        <w:gridCol w:w="2000"/>
      </w:tblGrid>
      <w:tr w:rsidR="00000000">
        <w:tblPrEx>
          <w:tblCellMar>
            <w:top w:w="0" w:type="dxa"/>
            <w:bottom w:w="0" w:type="dxa"/>
          </w:tblCellMar>
        </w:tblPrEx>
        <w:trPr>
          <w:trHeight w:val="253"/>
        </w:trPr>
        <w:tc>
          <w:tcPr>
            <w:tcW w:w="6000" w:type="dxa"/>
            <w:gridSpan w:val="2"/>
            <w:vMerge w:val="restart"/>
            <w:tcBorders>
              <w:top w:val="single" w:sz="6" w:space="0" w:color="auto"/>
              <w:bottom w:val="nil"/>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загальних зборів</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річні</w:t>
            </w:r>
          </w:p>
        </w:tc>
        <w:tc>
          <w:tcPr>
            <w:tcW w:w="2000" w:type="dxa"/>
            <w:vMerge w:val="restart"/>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позачергові</w:t>
            </w:r>
          </w:p>
        </w:tc>
      </w:tr>
      <w:tr w:rsidR="00000000">
        <w:tblPrEx>
          <w:tblCellMar>
            <w:top w:w="0" w:type="dxa"/>
            <w:bottom w:w="0" w:type="dxa"/>
          </w:tblCellMar>
        </w:tblPrEx>
        <w:trPr>
          <w:trHeight w:val="200"/>
        </w:trPr>
        <w:tc>
          <w:tcPr>
            <w:tcW w:w="6000" w:type="dxa"/>
            <w:gridSpan w:val="2"/>
            <w:vMerge/>
            <w:tcBorders>
              <w:top w:val="nil"/>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проведення</w:t>
            </w:r>
          </w:p>
        </w:tc>
        <w:tc>
          <w:tcPr>
            <w:tcW w:w="4000" w:type="dxa"/>
            <w:gridSpan w:val="2"/>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Кворум зборів</w:t>
            </w:r>
          </w:p>
        </w:tc>
        <w:tc>
          <w:tcPr>
            <w:tcW w:w="4000"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загальнi збори у 2020  роцi не проводились</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здійснював реєстрацію акціонерів для участі в зага</w:t>
      </w:r>
      <w:r>
        <w:rPr>
          <w:rFonts w:ascii="Times New Roman CYR" w:hAnsi="Times New Roman CYR" w:cs="Times New Roman CYR"/>
          <w:b/>
          <w:bCs/>
          <w:sz w:val="24"/>
          <w:szCs w:val="24"/>
        </w:rPr>
        <w:t>льних зборах акціонерів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Реєстраційна комісія, призначена особою, що скликала загальні збори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Депозитарна установа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контроль за станом реєстрації акціонерів або їх представників для участі в останніх загальних зборах у звітному році </w:t>
      </w:r>
      <w:r>
        <w:rPr>
          <w:rFonts w:ascii="Times New Roman CYR" w:hAnsi="Times New Roman CYR" w:cs="Times New Roman CYR"/>
          <w:sz w:val="24"/>
          <w:szCs w:val="24"/>
        </w:rPr>
        <w:t>(за наявності контролю)</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Національна комісія з цінних паперів та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 які володіють у сукупності більше ніж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У який спосіб відбувалось голосування з питань порядку денного на загальних зборах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карток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Бюлетенями (таємне </w:t>
            </w:r>
            <w:r>
              <w:rPr>
                <w:rFonts w:ascii="Times New Roman CYR" w:hAnsi="Times New Roman CYR" w:cs="Times New Roman CYR"/>
                <w:sz w:val="24"/>
                <w:szCs w:val="24"/>
              </w:rPr>
              <w:t>голосування)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рук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основні причини скликання останніх позачергових зборів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Реорганізація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Додатковий випуск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Унесення змін до статуту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збільшення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зменшення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голови та членів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ревізійної комісії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Делегування додаткових повноважень наглядовій раді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Чи проводились у звітному році загальні збори акціонерів у формі заочного голосування?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позачергових загальних зборів зазначаються їх ініціатори: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Ревізійна комісія (ревізор)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Акціонери (акціонер), які (який) на день подання вимоги сукупно є власниками (власником) 10 і більше відсотків голосуючих акцій товариства </w:t>
            </w:r>
          </w:p>
        </w:tc>
        <w:tc>
          <w:tcPr>
            <w:tcW w:w="3000"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3000"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непроведення чергов</w:t>
            </w:r>
            <w:r>
              <w:rPr>
                <w:rFonts w:ascii="Times New Roman CYR" w:hAnsi="Times New Roman CYR" w:cs="Times New Roman CYR"/>
                <w:b/>
                <w:bCs/>
                <w:sz w:val="24"/>
                <w:szCs w:val="24"/>
              </w:rPr>
              <w:t>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непроведення позачергових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4) інформація про наглядову раду та виконавчий орган емітента</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Склад наглядової ради (за наявності) </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2500"/>
        <w:gridCol w:w="25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Незалежний член наглядової ради</w:t>
            </w:r>
          </w:p>
        </w:tc>
        <w:tc>
          <w:tcPr>
            <w:tcW w:w="2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Залежний член наглядової ради</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проведені засідання наглядової ради, загальний опис прийнятих на них рішень; процедури, що застосовуються при </w:t>
            </w:r>
            <w:r>
              <w:rPr>
                <w:rFonts w:ascii="Times New Roman CYR" w:hAnsi="Times New Roman CYR" w:cs="Times New Roman CYR"/>
                <w:b/>
                <w:bCs/>
                <w:sz w:val="24"/>
                <w:szCs w:val="24"/>
              </w:rPr>
              <w:lastRenderedPageBreak/>
              <w:t>прийнятті наглядовою радою рішень; визначення, як діяльність наглядової ради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Комітети в складі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2000"/>
        <w:gridCol w:w="2000"/>
        <w:gridCol w:w="3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3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Персональний склад комітетів</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аудиту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призначень</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винагород</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40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c>
          <w:tcPr>
            <w:tcW w:w="3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комітетів наглядової ради, загальний опис прийнятих на них рішень</w:t>
            </w:r>
          </w:p>
        </w:tc>
        <w:tc>
          <w:tcPr>
            <w:tcW w:w="7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проведення оцінки роботи комітетів зазначається інформація щодо їх компетентності та ефективності</w:t>
            </w:r>
          </w:p>
        </w:tc>
        <w:tc>
          <w:tcPr>
            <w:tcW w:w="7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діяльність наглядової ради та оцінка її роботи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наглядової ради</w:t>
            </w:r>
          </w:p>
        </w:tc>
        <w:tc>
          <w:tcPr>
            <w:tcW w:w="7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з вимог до членів наглядової ради викладені у внутрішніх документах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Галузеві знання і досвід роботи в галузі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Знання у сфері фінансів і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Особисті якості (чесність, відповідальність)</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Відсутність конфлікту інтересів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Граничний вік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 будь-які вимоги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знаходиться в стадiї лiквiдацi</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Коли останній раз обирався новий член наглядової ради, як він ознайомився зі своїми правами та обов'язками?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Новий член наглядової ради самостійно ознайомився зі змістом внутрішніх документів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Було проведено засідання наглядової ради, на якому нового члена наглядової ради ознайомили з його правами та обов'язками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нового члена наглядової ради було організовано спеціальне навчання (з корпоративного управління або фінансового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Усіх членів наглядової ради було переобрано на повторний строк або не було обрано нового члена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визначається розмір винагороди членів наглядової ради?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фіксованою сумою</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відсотком від чистого прибутку або збільшення ринкової вартості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виплачується у вигляді цінних паперів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отримують винагороди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знаходиться в стадiї лiквiдацiї</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Склад виконавчого органу</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виконавчого органу</w:t>
            </w:r>
          </w:p>
        </w:tc>
        <w:tc>
          <w:tcPr>
            <w:tcW w:w="7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виконавчого органу</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виконавчого органу: загальний опис прийнятих на них рішень; інформація про результати роботи виконавчого органу; визначення, як діяльність виконавчого органу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виконавчого органу</w:t>
            </w:r>
          </w:p>
        </w:tc>
        <w:tc>
          <w:tcPr>
            <w:tcW w:w="7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Примітки</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Комiсiя з припинення </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5) опис основних характеристик систем внутрішнього контролю і управління ризиками емітента </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знаходиться у стадiї лiквiдацiї </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створено у вашому акціонерному товаристві ревіз</w:t>
      </w:r>
      <w:r>
        <w:rPr>
          <w:rFonts w:ascii="Times New Roman CYR" w:hAnsi="Times New Roman CYR" w:cs="Times New Roman CYR"/>
          <w:b/>
          <w:bCs/>
          <w:sz w:val="24"/>
          <w:szCs w:val="24"/>
        </w:rPr>
        <w:t xml:space="preserve">ійну комісію або введено посаду ревізора? (так, створено ревізійну комісію / так, введено посаду ревізора / ні)  </w:t>
      </w:r>
      <w:r>
        <w:rPr>
          <w:rFonts w:ascii="Times New Roman CYR" w:hAnsi="Times New Roman CYR" w:cs="Times New Roman CYR"/>
          <w:sz w:val="24"/>
          <w:szCs w:val="24"/>
          <w:u w:val="single"/>
        </w:rPr>
        <w:t>ні</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Якщо в товаристві створено ревізійну комісію: </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 xml:space="preserve">Кількість членів ревізійної комісії </w:t>
      </w:r>
      <w:r>
        <w:rPr>
          <w:rFonts w:ascii="Times New Roman CYR" w:hAnsi="Times New Roman CYR" w:cs="Times New Roman CYR"/>
          <w:sz w:val="24"/>
          <w:szCs w:val="24"/>
          <w:u w:val="single"/>
        </w:rPr>
        <w:t>0</w:t>
      </w:r>
      <w:r>
        <w:rPr>
          <w:rFonts w:ascii="Times New Roman CYR" w:hAnsi="Times New Roman CYR" w:cs="Times New Roman CYR"/>
          <w:b/>
          <w:bCs/>
          <w:sz w:val="24"/>
          <w:szCs w:val="24"/>
        </w:rPr>
        <w:t xml:space="preserve"> осіб.</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Скільки разів на рік у середньому відбувалися засідання ревізійної комісії протягом останніх трьох років?  </w:t>
      </w:r>
      <w:r>
        <w:rPr>
          <w:rFonts w:ascii="Times New Roman CYR" w:hAnsi="Times New Roman CYR" w:cs="Times New Roman CYR"/>
          <w:sz w:val="24"/>
          <w:szCs w:val="24"/>
          <w:u w:val="single"/>
        </w:rPr>
        <w:t>0</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Відповідно до статуту вашого акціонерного товариства, до компетенції якого з органів (загальних зборів акціонерів, наглядової ради чи виконавчого </w:t>
      </w:r>
      <w:r>
        <w:rPr>
          <w:rFonts w:ascii="Times New Roman CYR" w:hAnsi="Times New Roman CYR" w:cs="Times New Roman CYR"/>
          <w:b/>
          <w:bCs/>
          <w:sz w:val="24"/>
          <w:szCs w:val="24"/>
        </w:rPr>
        <w:t>органу) належить вирішення кожного з цих питань?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884"/>
        <w:gridCol w:w="1057"/>
        <w:gridCol w:w="1232"/>
        <w:gridCol w:w="1155"/>
        <w:gridCol w:w="1672"/>
      </w:tblGrid>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Не належить до компетенції жодного органу</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основних напрямів діяльності (стратегії)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планів діяльності (бізнес-планів)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річного фінансового звіту, або балансу, або бюджету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ревізійної комісії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притягнення до майнової відповідальності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додаткову емісію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викуп, реалізацію та розміщення власних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зовнішнього аудитора</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договорів, щодо яких існує конфлікт інтересів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акціоне</w:t>
      </w:r>
      <w:r>
        <w:rPr>
          <w:rFonts w:ascii="Times New Roman CYR" w:hAnsi="Times New Roman CYR" w:cs="Times New Roman CYR"/>
          <w:b/>
          <w:bCs/>
          <w:sz w:val="24"/>
          <w:szCs w:val="24"/>
        </w:rPr>
        <w:t xml:space="preserve">рного товариства положення, яке обмежує повноваження виконавчого органу приймати рішення про укладення договорів, враховуючи їх суму, від імені акціонерного товариства? (так/ні)  </w:t>
      </w:r>
      <w:r>
        <w:rPr>
          <w:rFonts w:ascii="Times New Roman CYR" w:hAnsi="Times New Roman CYR" w:cs="Times New Roman CYR"/>
          <w:sz w:val="24"/>
          <w:szCs w:val="24"/>
          <w:u w:val="single"/>
        </w:rPr>
        <w:t>так</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або внутрішні документи акціонерного товариства положе</w:t>
      </w:r>
      <w:r>
        <w:rPr>
          <w:rFonts w:ascii="Times New Roman CYR" w:hAnsi="Times New Roman CYR" w:cs="Times New Roman CYR"/>
          <w:b/>
          <w:bCs/>
          <w:sz w:val="24"/>
          <w:szCs w:val="24"/>
        </w:rPr>
        <w:t xml:space="preserve">ння про конфлікт інтересів, тобто суперечність між особистими інтересами посадової особи або пов'язаних з нею осіб та обов'язком діяти в інтересах акціонерного товариства?(так/ні)  </w:t>
      </w:r>
      <w:r>
        <w:rPr>
          <w:rFonts w:ascii="Times New Roman CYR" w:hAnsi="Times New Roman CYR" w:cs="Times New Roman CYR"/>
          <w:sz w:val="24"/>
          <w:szCs w:val="24"/>
          <w:u w:val="single"/>
        </w:rPr>
        <w:t>так</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документи існують у вашому акціонерному товаристві?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Полож</w:t>
            </w:r>
            <w:r>
              <w:rPr>
                <w:rFonts w:ascii="Times New Roman CYR" w:hAnsi="Times New Roman CYR" w:cs="Times New Roman CYR"/>
                <w:sz w:val="24"/>
                <w:szCs w:val="24"/>
              </w:rPr>
              <w:t>ення про 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ревізійну комісію (або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порядок розподілу прибутку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акціонери можуть отримати інформацію про діяльність вашого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1500"/>
        <w:gridCol w:w="2000"/>
        <w:gridCol w:w="1500"/>
        <w:gridCol w:w="1000"/>
        <w:gridCol w:w="1500"/>
      </w:tblGrid>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про діяльність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розповсюджується на загальних зборах</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оприлюднюється в загальнодоступній інформаційній базі даних Національної комісії з цінних паперів та фондового ринку про ринок цінних паперів або через особу, яка провадить діяльність з оприлюднення регульованої інформації від імені учасників фо</w:t>
            </w:r>
            <w:r>
              <w:rPr>
                <w:rFonts w:ascii="Times New Roman CYR" w:hAnsi="Times New Roman CYR" w:cs="Times New Roman CYR"/>
                <w:sz w:val="24"/>
                <w:szCs w:val="24"/>
              </w:rPr>
              <w:t>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Документи надаються для ознайомлення безпосередньо в акціонерному товаристві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Копії документів надаються на запит акціонера</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розміщується на власному веб-сайті акціонерного товариства</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Фінансова звітність, результати діяльності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акціонерів, які володіють 5 та більше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склад органів управління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Протоколи загальних зборів акціонерів після їх проведення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готує акціонерне товариство фінансову звітність у відповідності до міжнародних стандартів фінансової звітності? (так/ні)  </w:t>
      </w:r>
      <w:r>
        <w:rPr>
          <w:rFonts w:ascii="Times New Roman CYR" w:hAnsi="Times New Roman CYR" w:cs="Times New Roman CYR"/>
          <w:sz w:val="24"/>
          <w:szCs w:val="24"/>
          <w:u w:val="single"/>
        </w:rPr>
        <w:t>так</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Скільки разів проводилися аудиторські перевірки акціонерного товариства незалежним аудитором (аудиторською фірмою) протягом звітного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 проводились взагалі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Частіше ніж 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приймав рішення про затвердження незалежного аудитора (аудиторської фірми)?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 ініціативи якого органу ревізійна комісія (ревізор) проводила (проводив) перев</w:t>
      </w:r>
      <w:r>
        <w:rPr>
          <w:rFonts w:ascii="Times New Roman CYR" w:hAnsi="Times New Roman CYR" w:cs="Times New Roman CYR"/>
          <w:b/>
          <w:bCs/>
          <w:sz w:val="24"/>
          <w:szCs w:val="24"/>
        </w:rPr>
        <w:t>ірку востаннє?</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власної ініціативи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загальних зборів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зверненням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вимогу акціонерів, які в сукупності володіють понад та більше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перелік осіб, які прямо або опосередковано є власниками значного пакета акцій емітента</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892"/>
        <w:gridCol w:w="4000"/>
        <w:gridCol w:w="3000"/>
        <w:gridCol w:w="2000"/>
      </w:tblGrid>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з/п</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Повне найменування юридичної особи - власника (власників) або прізвище, ім'я, по батькові (за наявності) фізичної особи - власника (власників) значного пакета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Ідентифікаційний код згідно з Єдиним державним реєстром юридичних осіб, фізичних осіб - під</w:t>
            </w:r>
            <w:r>
              <w:rPr>
                <w:rFonts w:ascii="Times New Roman CYR" w:hAnsi="Times New Roman CYR" w:cs="Times New Roman CYR"/>
                <w:b/>
                <w:bCs/>
                <w:sz w:val="24"/>
                <w:szCs w:val="24"/>
              </w:rPr>
              <w:t>приємців та громадських формувань (для юридичної особи - резидента),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(для юридичної особи - нере</w:t>
            </w:r>
            <w:r>
              <w:rPr>
                <w:rFonts w:ascii="Times New Roman CYR" w:hAnsi="Times New Roman CYR" w:cs="Times New Roman CYR"/>
                <w:b/>
                <w:bCs/>
                <w:sz w:val="24"/>
                <w:szCs w:val="24"/>
              </w:rPr>
              <w:t>зидента)</w:t>
            </w:r>
          </w:p>
        </w:tc>
        <w:tc>
          <w:tcPr>
            <w:tcW w:w="2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Розмір частки акціонера (власника) (у відсотках до статутного капіталу)</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4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Приватне акцiонерне товариство "Всеукраїнський депозитарiй цiнних паперiв"</w:t>
            </w:r>
          </w:p>
        </w:tc>
        <w:tc>
          <w:tcPr>
            <w:tcW w:w="3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35917889</w:t>
            </w:r>
          </w:p>
        </w:tc>
        <w:tc>
          <w:tcPr>
            <w:tcW w:w="2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45,950785</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2</w:t>
            </w:r>
          </w:p>
        </w:tc>
        <w:tc>
          <w:tcPr>
            <w:tcW w:w="4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Канарейкiн Володимир Iванович</w:t>
            </w:r>
          </w:p>
        </w:tc>
        <w:tc>
          <w:tcPr>
            <w:tcW w:w="3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9,677287</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3</w:t>
            </w:r>
          </w:p>
        </w:tc>
        <w:tc>
          <w:tcPr>
            <w:tcW w:w="4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Собкiв Степан Дмитрович</w:t>
            </w:r>
          </w:p>
        </w:tc>
        <w:tc>
          <w:tcPr>
            <w:tcW w:w="3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5,170705</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інформація про будь-які обмеження прав участі та голосування акціонерів (учасників) на загальних зборах емітента</w:t>
      </w:r>
    </w:p>
    <w:p w:rsidR="00000000" w:rsidRDefault="00384175">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1892"/>
        <w:gridCol w:w="2000"/>
        <w:gridCol w:w="4000"/>
        <w:gridCol w:w="2000"/>
      </w:tblGrid>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Загальна кількість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Кількість акцій з обмеженнями</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Підстава виникнення обмеження</w:t>
            </w:r>
          </w:p>
        </w:tc>
        <w:tc>
          <w:tcPr>
            <w:tcW w:w="20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Дата виникнення обмеження</w:t>
            </w: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w:t>
            </w:r>
          </w:p>
        </w:tc>
        <w:tc>
          <w:tcPr>
            <w:tcW w:w="4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Iнформацiї щодо обмежень обiгу цiнних паперiв або обмежень права голосу за цiнними паперами у Товариства немає.</w:t>
            </w:r>
          </w:p>
        </w:tc>
        <w:tc>
          <w:tcPr>
            <w:tcW w:w="2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800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Iнформацiї щодо обмежень обiгу цiнних паперiв або обмежень права голосу за цiнними паперами у Товариства немає.</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8) порядок призначення та звільнення посадових осіб емітента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чинного законодавства та статуту. Винагороди та компенсацiї не виплачуються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9) повноваження посадових осіб емітента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Комiсiя з припинення. Повноваження згiдно статуту та законодавства</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10)</w:t>
      </w:r>
      <w:r>
        <w:rPr>
          <w:rFonts w:ascii="Times New Roman CYR" w:hAnsi="Times New Roman CYR" w:cs="Times New Roman CYR"/>
          <w:b/>
          <w:bCs/>
          <w:sz w:val="24"/>
          <w:szCs w:val="24"/>
        </w:rPr>
        <w:t xml:space="preserve"> Висловлення думки аудитора (аудиторської фірми) щодо інформації, зазначеної у підпунктах 5-9 цього пункту, а також перевірки інформації, зазначеної в підпунктах 1-4 цього пункту</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Аудит не проводився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11) Інформація, передбачена Законом України "Про фінансо</w:t>
      </w:r>
      <w:r>
        <w:rPr>
          <w:rFonts w:ascii="Times New Roman CYR" w:hAnsi="Times New Roman CYR" w:cs="Times New Roman CYR"/>
          <w:b/>
          <w:bCs/>
          <w:sz w:val="24"/>
          <w:szCs w:val="24"/>
        </w:rPr>
        <w:t>ві послуги та державне регулювання ринку фінансових послуг" (для фінансових установ)</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VIII. Інформація про осіб, що володіють 5 і більше відсотками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300"/>
        <w:gridCol w:w="1400"/>
        <w:gridCol w:w="2300"/>
        <w:gridCol w:w="2000"/>
        <w:gridCol w:w="2000"/>
        <w:gridCol w:w="2000"/>
        <w:gridCol w:w="2121"/>
      </w:tblGrid>
      <w:tr w:rsidR="00000000">
        <w:tblPrEx>
          <w:tblCellMar>
            <w:top w:w="0" w:type="dxa"/>
            <w:bottom w:w="0" w:type="dxa"/>
          </w:tblCellMar>
        </w:tblPrEx>
        <w:trPr>
          <w:trHeight w:val="200"/>
        </w:trPr>
        <w:tc>
          <w:tcPr>
            <w:tcW w:w="3300" w:type="dxa"/>
            <w:vMerge w:val="restart"/>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300" w:type="dxa"/>
            <w:vMerge/>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3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"Всеукраїнський депозитарiй цiнних паперiв"</w:t>
            </w:r>
          </w:p>
        </w:tc>
        <w:tc>
          <w:tcPr>
            <w:tcW w:w="1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35917889</w:t>
            </w:r>
          </w:p>
        </w:tc>
        <w:tc>
          <w:tcPr>
            <w:tcW w:w="2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04107, Київська обл., д/в р-н, м. Київ, Тропiнiна, 7-Г</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6 626 275</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45,950785</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6 626 275</w:t>
            </w:r>
          </w:p>
        </w:tc>
        <w:tc>
          <w:tcPr>
            <w:tcW w:w="212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vMerge w:val="restart"/>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(за наявності) фізичної особи</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типами акцій</w:t>
            </w:r>
          </w:p>
        </w:tc>
      </w:tr>
      <w:tr w:rsidR="00000000">
        <w:tblPrEx>
          <w:tblCellMar>
            <w:top w:w="0" w:type="dxa"/>
            <w:bottom w:w="0" w:type="dxa"/>
          </w:tblCellMar>
        </w:tblPrEx>
        <w:trPr>
          <w:trHeight w:val="200"/>
        </w:trPr>
        <w:tc>
          <w:tcPr>
            <w:tcW w:w="7000" w:type="dxa"/>
            <w:gridSpan w:val="3"/>
            <w:vMerge/>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Канарейкiн Володимир Iванович</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1 395 501</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9,677287</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1 395 501</w:t>
            </w:r>
          </w:p>
        </w:tc>
        <w:tc>
          <w:tcPr>
            <w:tcW w:w="212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Собкiв Степан Дмитрович</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745 635</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5,170705</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745 635</w:t>
            </w:r>
          </w:p>
        </w:tc>
        <w:tc>
          <w:tcPr>
            <w:tcW w:w="212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8 767 411</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60,798777</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8 767 411</w:t>
            </w:r>
          </w:p>
        </w:tc>
        <w:tc>
          <w:tcPr>
            <w:tcW w:w="212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 Структура капіталу</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2462"/>
        <w:gridCol w:w="2000"/>
        <w:gridCol w:w="2000"/>
        <w:gridCol w:w="5000"/>
        <w:gridCol w:w="3621"/>
      </w:tblGrid>
      <w:tr w:rsidR="00000000">
        <w:tblPrEx>
          <w:tblCellMar>
            <w:top w:w="0" w:type="dxa"/>
            <w:bottom w:w="0" w:type="dxa"/>
          </w:tblCellMar>
        </w:tblPrEx>
        <w:trPr>
          <w:trHeight w:val="300"/>
        </w:trPr>
        <w:tc>
          <w:tcPr>
            <w:tcW w:w="2462"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Тип та/або клас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акцій (шт.)</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Номінальна вартість (грн)</w:t>
            </w:r>
          </w:p>
        </w:tc>
        <w:tc>
          <w:tcPr>
            <w:tcW w:w="5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Права та обов'язки</w:t>
            </w:r>
          </w:p>
        </w:tc>
        <w:tc>
          <w:tcPr>
            <w:tcW w:w="3621"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Наявність публічної пропозиції та/або допуску до торгів на фондовій біржі в частині включення до біржового реєстру</w:t>
            </w:r>
          </w:p>
        </w:tc>
      </w:tr>
      <w:tr w:rsidR="00000000">
        <w:tblPrEx>
          <w:tblCellMar>
            <w:top w:w="0" w:type="dxa"/>
            <w:bottom w:w="0" w:type="dxa"/>
          </w:tblCellMar>
        </w:tblPrEx>
        <w:trPr>
          <w:trHeight w:val="300"/>
        </w:trPr>
        <w:tc>
          <w:tcPr>
            <w:tcW w:w="2462"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простi iменнi</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14 420 374</w:t>
            </w:r>
          </w:p>
        </w:tc>
        <w:tc>
          <w:tcPr>
            <w:tcW w:w="2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0,25</w:t>
            </w:r>
          </w:p>
        </w:tc>
        <w:tc>
          <w:tcPr>
            <w:tcW w:w="5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Вiдповiдно до чинного законодавства та Статуту Товариства</w:t>
            </w:r>
          </w:p>
        </w:tc>
        <w:tc>
          <w:tcPr>
            <w:tcW w:w="3621"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немає</w:t>
            </w:r>
          </w:p>
        </w:tc>
      </w:tr>
      <w:tr w:rsidR="00000000">
        <w:tblPrEx>
          <w:tblCellMar>
            <w:top w:w="0" w:type="dxa"/>
            <w:bottom w:w="0" w:type="dxa"/>
          </w:tblCellMar>
        </w:tblPrEx>
        <w:trPr>
          <w:trHeight w:val="300"/>
        </w:trPr>
        <w:tc>
          <w:tcPr>
            <w:tcW w:w="15083" w:type="dxa"/>
            <w:gridSpan w:val="5"/>
            <w:tcBorders>
              <w:top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Примітки:</w:t>
            </w:r>
          </w:p>
        </w:tc>
      </w:tr>
      <w:tr w:rsidR="00000000">
        <w:tblPrEx>
          <w:tblCellMar>
            <w:top w:w="0" w:type="dxa"/>
            <w:bottom w:w="0" w:type="dxa"/>
          </w:tblCellMar>
        </w:tblPrEx>
        <w:trPr>
          <w:trHeight w:val="300"/>
        </w:trPr>
        <w:tc>
          <w:tcPr>
            <w:tcW w:w="15083" w:type="dxa"/>
            <w:gridSpan w:val="5"/>
            <w:tcBorders>
              <w:top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 Відомості про цінні папери емітента</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випуски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500"/>
        <w:gridCol w:w="1450"/>
        <w:gridCol w:w="1450"/>
        <w:gridCol w:w="1200"/>
        <w:gridCol w:w="1400"/>
        <w:gridCol w:w="14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Міжнародний ідентифікаційний номер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Тип цінного папера</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Загальна номінальна вартість (грн)</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09.09.1998</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191/13/1/98</w:t>
            </w:r>
          </w:p>
        </w:tc>
        <w:tc>
          <w:tcPr>
            <w:tcW w:w="2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Львiвське ТУ ДКЦПФР</w:t>
            </w:r>
          </w:p>
        </w:tc>
        <w:tc>
          <w:tcPr>
            <w:tcW w:w="17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 1305541005</w:t>
            </w:r>
          </w:p>
        </w:tc>
        <w:tc>
          <w:tcPr>
            <w:tcW w:w="15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документарна іменна</w:t>
            </w:r>
          </w:p>
        </w:tc>
        <w:tc>
          <w:tcPr>
            <w:tcW w:w="14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Документарні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14 420 374</w:t>
            </w:r>
          </w:p>
        </w:tc>
        <w:tc>
          <w:tcPr>
            <w:tcW w:w="1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3 605 093,5</w:t>
            </w:r>
          </w:p>
        </w:tc>
        <w:tc>
          <w:tcPr>
            <w:tcW w:w="14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13850" w:type="dxa"/>
            <w:gridSpan w:val="9"/>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лiстингу/делiстингу цiнн</w:t>
            </w:r>
            <w:r>
              <w:rPr>
                <w:rFonts w:ascii="Times New Roman CYR" w:hAnsi="Times New Roman CYR" w:cs="Times New Roman CYR"/>
              </w:rPr>
              <w:t>их паперiв на фондових бiржах не проводилось. Рiшення про переведення акцiй у бездокументарну форму не було прийняте  у зв'язку з припиненням товариства шляхом лiквiдацiї.</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XIII. Інформація про господарську та фінансову діяльність емітент</w:t>
      </w:r>
      <w:r>
        <w:rPr>
          <w:rFonts w:ascii="Times New Roman CYR" w:hAnsi="Times New Roman CYR" w:cs="Times New Roman CYR"/>
          <w:b/>
          <w:bCs/>
          <w:sz w:val="28"/>
          <w:szCs w:val="28"/>
        </w:rPr>
        <w:t>а</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основні засоби емітента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3 939</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3 779</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3 939</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3 779</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3 891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3 735</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3 891</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3 735</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48</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44</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48</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44</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3 939</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3 779</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3 939</w:t>
            </w:r>
          </w:p>
        </w:tc>
        <w:tc>
          <w:tcPr>
            <w:tcW w:w="1082"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3 779</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7022" w:type="dxa"/>
            <w:gridSpan w:val="6"/>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 статтi "Основнi засоби" згiдно з МСБО 16 "Основнi засоби" наводиться валова балансова вартiсть основних засобiв (</w:t>
            </w:r>
            <w:r>
              <w:rPr>
                <w:rFonts w:ascii="Times New Roman CYR" w:hAnsi="Times New Roman CYR" w:cs="Times New Roman CYR"/>
              </w:rPr>
              <w:t>вартiсть основних засобiв пiсля вирахування суми накопиченої амортизацiї та накопичених збиткiв вiд зменшення корисностi) на початок i кiнець звiтного перiоду.</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Інформація щодо вартості чистих активів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звітний період</w:t>
            </w:r>
          </w:p>
        </w:tc>
        <w:tc>
          <w:tcPr>
            <w:tcW w:w="3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3 111</w:t>
            </w:r>
          </w:p>
        </w:tc>
        <w:tc>
          <w:tcPr>
            <w:tcW w:w="3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3 336</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c>
          <w:tcPr>
            <w:tcW w:w="3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c>
          <w:tcPr>
            <w:tcW w:w="3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74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Вартiсть</w:t>
            </w:r>
            <w:r>
              <w:rPr>
                <w:rFonts w:ascii="Times New Roman CYR" w:hAnsi="Times New Roman CYR" w:cs="Times New Roman CYR"/>
              </w:rPr>
              <w:t xml:space="preserve"> чистих активiв розрахована за даними Балансу як рiзниця балансової вартостi активiв та всiх видiв зобов`язань i забезпечень, вiдображених в Балансi. Розрахунок проведено з урахуванням вимог Методичних рекомендацiй щодо визначення вартостi чистих активiв а</w:t>
            </w:r>
            <w:r>
              <w:rPr>
                <w:rFonts w:ascii="Times New Roman CYR" w:hAnsi="Times New Roman CYR" w:cs="Times New Roman CYR"/>
              </w:rPr>
              <w:t>кцiонерного товариства, схвалених рiшенням ДКЦПФР вiд 17.11.2004 р.</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Висновок</w:t>
            </w:r>
          </w:p>
        </w:tc>
        <w:tc>
          <w:tcPr>
            <w:tcW w:w="8740" w:type="dxa"/>
            <w:gridSpan w:val="3"/>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494 тис.грн. Скоригований статутний капiтал перевищує розрахункову вартiсть чистих активiв на 494 тис.грн. Порушенi вимоги частини третьої статтi 155 Цивiльного кодексу України. Вимагаєтьс</w:t>
            </w:r>
            <w:r>
              <w:rPr>
                <w:rFonts w:ascii="Times New Roman CYR" w:hAnsi="Times New Roman CYR" w:cs="Times New Roman CYR"/>
              </w:rPr>
              <w:t>я зменшення статутного капiталу.</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3. Інформація про зобов'язання та забезпечення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780"/>
        <w:gridCol w:w="1440"/>
        <w:gridCol w:w="1480"/>
        <w:gridCol w:w="1940"/>
        <w:gridCol w:w="1328"/>
      </w:tblGrid>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погашення</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довгостроковий кредит</w:t>
            </w:r>
          </w:p>
        </w:tc>
        <w:tc>
          <w:tcPr>
            <w:tcW w:w="144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01.03.2011</w:t>
            </w:r>
          </w:p>
        </w:tc>
        <w:tc>
          <w:tcPr>
            <w:tcW w:w="148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w:t>
            </w:r>
          </w:p>
        </w:tc>
        <w:tc>
          <w:tcPr>
            <w:tcW w:w="194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28"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іншими цінними паперами (у тому числі за похідними цінними паперами)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612</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56</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1 058</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6188" w:type="dxa"/>
            <w:gridSpan w:val="4"/>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Усього зобов"язань та забезпечень станом на 31.12.2020 р.- 1058 тис.грн.,</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4. Інформація про обсяги виробництва та реалізації основних видів продукції</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600"/>
        <w:gridCol w:w="1400"/>
        <w:gridCol w:w="2180"/>
        <w:gridCol w:w="2180"/>
        <w:gridCol w:w="2190"/>
        <w:gridCol w:w="2180"/>
        <w:gridCol w:w="2180"/>
        <w:gridCol w:w="2190"/>
      </w:tblGrid>
      <w:tr w:rsidR="00000000">
        <w:tblPrEx>
          <w:tblCellMar>
            <w:top w:w="0" w:type="dxa"/>
            <w:bottom w:w="0" w:type="dxa"/>
          </w:tblCellMar>
        </w:tblPrEx>
        <w:trPr>
          <w:trHeight w:val="200"/>
        </w:trPr>
        <w:tc>
          <w:tcPr>
            <w:tcW w:w="600" w:type="dxa"/>
            <w:vMerge w:val="restart"/>
            <w:tcBorders>
              <w:top w:val="single" w:sz="6" w:space="0" w:color="auto"/>
              <w:bottom w:val="nil"/>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з/п</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Основні види продукції</w:t>
            </w:r>
          </w:p>
        </w:tc>
        <w:tc>
          <w:tcPr>
            <w:tcW w:w="6550" w:type="dxa"/>
            <w:gridSpan w:val="3"/>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Обсяг виробництва</w:t>
            </w:r>
          </w:p>
        </w:tc>
        <w:tc>
          <w:tcPr>
            <w:tcW w:w="6550" w:type="dxa"/>
            <w:gridSpan w:val="3"/>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Обсяг реалізованої продукції</w:t>
            </w:r>
          </w:p>
        </w:tc>
      </w:tr>
      <w:tr w:rsidR="00000000">
        <w:tblPrEx>
          <w:tblCellMar>
            <w:top w:w="0" w:type="dxa"/>
            <w:bottom w:w="0" w:type="dxa"/>
          </w:tblCellMar>
        </w:tblPrEx>
        <w:trPr>
          <w:trHeight w:val="200"/>
        </w:trPr>
        <w:tc>
          <w:tcPr>
            <w:tcW w:w="600" w:type="dxa"/>
            <w:vMerge/>
            <w:tcBorders>
              <w:top w:val="nil"/>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натуральній формі (фізична одиниця виміру)</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грошовій формі (тис.грн)</w:t>
            </w:r>
          </w:p>
        </w:tc>
        <w:tc>
          <w:tcPr>
            <w:tcW w:w="219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відсотках до всієї виробленої продукції</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натуральній формі (фізична одиниця виміру)</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у грошовій формі (тис.грн)</w:t>
            </w:r>
          </w:p>
        </w:tc>
        <w:tc>
          <w:tcPr>
            <w:tcW w:w="219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у відсотках до всієї реалізованої продукції</w:t>
            </w:r>
          </w:p>
        </w:tc>
      </w:tr>
      <w:tr w:rsidR="00000000">
        <w:tblPrEx>
          <w:tblCellMar>
            <w:top w:w="0" w:type="dxa"/>
            <w:left w:w="28" w:type="dxa"/>
            <w:bottom w:w="0" w:type="dxa"/>
            <w:right w:w="28" w:type="dxa"/>
          </w:tblCellMar>
        </w:tblPrEx>
        <w:trPr>
          <w:trHeight w:val="300"/>
        </w:trPr>
        <w:tc>
          <w:tcPr>
            <w:tcW w:w="60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19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19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left w:w="28" w:type="dxa"/>
            <w:bottom w:w="0" w:type="dxa"/>
            <w:right w:w="28" w:type="dxa"/>
          </w:tblCellMar>
        </w:tblPrEx>
        <w:trPr>
          <w:trHeight w:val="300"/>
        </w:trPr>
        <w:tc>
          <w:tcPr>
            <w:tcW w:w="600" w:type="dxa"/>
            <w:tcBorders>
              <w:top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оренда примiщення</w:t>
            </w:r>
          </w:p>
        </w:tc>
        <w:tc>
          <w:tcPr>
            <w:tcW w:w="218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18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19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18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500 кв.м.</w:t>
            </w:r>
          </w:p>
        </w:tc>
        <w:tc>
          <w:tcPr>
            <w:tcW w:w="218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665</w:t>
            </w:r>
          </w:p>
        </w:tc>
        <w:tc>
          <w:tcPr>
            <w:tcW w:w="219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tbl>
      <w:tblPr>
        <w:tblW w:w="0" w:type="auto"/>
        <w:tblInd w:w="108" w:type="dxa"/>
        <w:tblLayout w:type="fixed"/>
        <w:tblLook w:val="0000"/>
      </w:tblPr>
      <w:tblGrid>
        <w:gridCol w:w="2160"/>
        <w:gridCol w:w="4466"/>
        <w:gridCol w:w="1654"/>
        <w:gridCol w:w="1720"/>
      </w:tblGrid>
      <w:tr w:rsidR="00000000">
        <w:tblPrEx>
          <w:tblCellMar>
            <w:top w:w="0" w:type="dxa"/>
            <w:bottom w:w="0" w:type="dxa"/>
          </w:tblCellMar>
        </w:tblPrEx>
        <w:trPr>
          <w:gridBefore w:val="3"/>
          <w:wBefore w:w="8280" w:type="dxa"/>
          <w:trHeight w:val="300"/>
        </w:trPr>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КОДИ</w:t>
            </w:r>
          </w:p>
        </w:tc>
      </w:tr>
      <w:tr w:rsidR="00000000">
        <w:tblPrEx>
          <w:tblCellMar>
            <w:top w:w="0" w:type="dxa"/>
            <w:bottom w:w="0" w:type="dxa"/>
          </w:tblCellMar>
        </w:tblPrEx>
        <w:trPr>
          <w:gridBefore w:val="2"/>
          <w:wBefore w:w="6626" w:type="dxa"/>
          <w:trHeight w:val="300"/>
        </w:trPr>
        <w:tc>
          <w:tcPr>
            <w:tcW w:w="1654"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Дата</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66"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Вiдкрите акцiонерне товариство "Елегал"</w:t>
            </w:r>
          </w:p>
        </w:tc>
        <w:tc>
          <w:tcPr>
            <w:tcW w:w="1654"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ЄДРПОУ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14308612</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66"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Львівська область, м.Великi Мости</w:t>
            </w:r>
          </w:p>
        </w:tc>
        <w:tc>
          <w:tcPr>
            <w:tcW w:w="1654"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КОАТУУ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4624810600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66"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Відкрите акціонерне товариство</w:t>
            </w:r>
          </w:p>
        </w:tc>
        <w:tc>
          <w:tcPr>
            <w:tcW w:w="1654"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КОПФГ</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231</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66"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Виробництво електро- та радіокомпонентів</w:t>
            </w:r>
          </w:p>
        </w:tc>
        <w:tc>
          <w:tcPr>
            <w:tcW w:w="1654"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КВЕД</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32.10.0</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w:t>
      </w:r>
      <w:r>
        <w:rPr>
          <w:rFonts w:ascii="Times New Roman CYR" w:hAnsi="Times New Roman CYR" w:cs="Times New Roman CYR"/>
        </w:rPr>
        <w:t>7</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80074 м. Великi Мости, вул.  Львiвська , 2а, (03257) 6-49-80</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без десяткового знака</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Складено </w:t>
      </w:r>
      <w:r>
        <w:rPr>
          <w:rFonts w:ascii="Times New Roman CYR" w:hAnsi="Times New Roman CYR" w:cs="Times New Roman CYR"/>
        </w:rPr>
        <w:t>(зробити позначку "v" у відповідній клітинці):</w:t>
      </w:r>
    </w:p>
    <w:tbl>
      <w:tblPr>
        <w:tblW w:w="0" w:type="auto"/>
        <w:tblInd w:w="108" w:type="dxa"/>
        <w:tblLayout w:type="fixed"/>
        <w:tblLook w:val="0000"/>
      </w:tblPr>
      <w:tblGrid>
        <w:gridCol w:w="5650"/>
        <w:gridCol w:w="350"/>
      </w:tblGrid>
      <w:tr w:rsidR="00000000">
        <w:tblPrEx>
          <w:tblCellMar>
            <w:top w:w="0" w:type="dxa"/>
            <w:bottom w:w="0" w:type="dxa"/>
          </w:tblCellMar>
        </w:tblPrEx>
        <w:trPr>
          <w:trHeight w:val="298"/>
        </w:trPr>
        <w:tc>
          <w:tcPr>
            <w:tcW w:w="5650" w:type="dxa"/>
            <w:vMerge w:val="restart"/>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положеннями (стандартами) бухгалтерського обліку</w:t>
            </w:r>
          </w:p>
        </w:tc>
        <w:tc>
          <w:tcPr>
            <w:tcW w:w="3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98"/>
        </w:trPr>
        <w:tc>
          <w:tcPr>
            <w:tcW w:w="5650" w:type="dxa"/>
            <w:vMerge w:val="restart"/>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міжнародними стандартами фінансової звітності</w:t>
            </w:r>
          </w:p>
        </w:tc>
        <w:tc>
          <w:tcPr>
            <w:tcW w:w="35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Баланс</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фінансовий стан)</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sz w:val="24"/>
          <w:szCs w:val="24"/>
        </w:rPr>
        <w:t>на 31.12.2020 p.</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24"/>
        <w:gridCol w:w="776"/>
        <w:gridCol w:w="1200"/>
        <w:gridCol w:w="200"/>
        <w:gridCol w:w="1400"/>
        <w:gridCol w:w="1400"/>
      </w:tblGrid>
      <w:tr w:rsidR="00000000">
        <w:tblPrEx>
          <w:tblCellMar>
            <w:top w:w="0" w:type="dxa"/>
            <w:bottom w:w="0" w:type="dxa"/>
          </w:tblCellMar>
        </w:tblPrEx>
        <w:trPr>
          <w:gridBefore w:val="3"/>
          <w:wBefore w:w="7000" w:type="dxa"/>
          <w:trHeight w:val="280"/>
        </w:trPr>
        <w:tc>
          <w:tcPr>
            <w:tcW w:w="1600" w:type="dxa"/>
            <w:gridSpan w:val="2"/>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4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1801001</w:t>
            </w:r>
          </w:p>
        </w:tc>
      </w:tr>
      <w:tr w:rsidR="00000000">
        <w:tblPrEx>
          <w:tblCellMar>
            <w:top w:w="0" w:type="dxa"/>
            <w:bottom w:w="0" w:type="dxa"/>
          </w:tblCellMar>
        </w:tblPrEx>
        <w:trPr>
          <w:trHeight w:val="3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періоду</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дату переходу на МСФЗ</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 Необоротні активи</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445</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3 939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3 779</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5 647</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13 550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13 550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16 164</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( 9 611 )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( 9 771 )</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( 10 517 )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Інвестиційна нерухомість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1016</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1017</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які обліковуються за методом участі в капіталі інших підприємств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1040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податкові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1045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Гудвіл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1050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аквізиційні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1060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Залишок коштів у централізованих страхових резервних фондах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1065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3 939</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3 779</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6 092</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II. Оборотні активи</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157</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1 522</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Виробничі 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126</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289</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Незавершене виробництво</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1 233</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Товари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1104</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Депозити перестрахування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Векселі одержані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продукцію,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за виданими авансами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 нарахованих доходів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1140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із внутрішніх розрахунків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1145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Готівка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Рахунки в банках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1167</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Частка перестраховика у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 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збитків або резервах належних виплат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1183</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інших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1184</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39</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1 576</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Баланс</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4 149</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3 974</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7 668</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24"/>
        <w:gridCol w:w="776"/>
        <w:gridCol w:w="1400"/>
        <w:gridCol w:w="1400"/>
        <w:gridCol w:w="1400"/>
      </w:tblGrid>
      <w:tr w:rsidR="00000000">
        <w:tblPrEx>
          <w:tblCellMar>
            <w:top w:w="0" w:type="dxa"/>
            <w:bottom w:w="0" w:type="dxa"/>
          </w:tblCellMar>
        </w:tblPrEx>
        <w:trPr>
          <w:trHeight w:val="529"/>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періоду</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дату переходу на МСФЗ</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 Власний капітал</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5"/>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Внески до незареєстрованого статутного капіталу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Капітал у дооцінках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5 223</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5 223</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8 328</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Емісійний дохід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Накопичені курсові різниці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1412</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-5 492</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-5 717</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-4 906</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Вилучений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3 336</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3 111</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7 027</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II. Довгострокові зобов’язання і забезпечення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податкові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Пенсійні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314</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довгострокові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1515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забезпечення витрат персоналу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Цільове фінансування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Благодійна допомога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1526</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Страхові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збитків або резерв належних виплат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1532</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1533</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 страхові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1534</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Інвестиційні контракти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Призовий фонд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1540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 на виплату джек-поту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1545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221</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314</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024"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IІІ. Поточні зобов’язання і забезпечення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Векселі видані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284</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299</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158</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267</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309</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77</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одержаними авансами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учасниками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1640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із внутрішніх розрахунків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1645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страховою діяльністю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1650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комісійні доходи від перестраховиків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56</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IІІ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592</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668</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327</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Чиста вартість активів недержавного пенсійного фонду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1800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Баланс</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4 149</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3 974</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7 668</w:t>
            </w:r>
          </w:p>
        </w:tc>
      </w:tr>
    </w:tbl>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Для нарахування амортизацiї об'єктiв основних засобiв використовується прямолiнiйний метод, зменшення залишкової вартостi, для малоцiнних необоротних матерiальних активiв - у сумi 100% їхньої вартостi у першому мiсяцi використання таких об'єктiв,</w:t>
      </w:r>
      <w:r>
        <w:rPr>
          <w:rFonts w:ascii="Times New Roman CYR" w:hAnsi="Times New Roman CYR" w:cs="Times New Roman CYR"/>
        </w:rPr>
        <w:t xml:space="preserve"> iнших необоротних матерiальних активiв та нематерiальних активiв - прямолiнiйний метод.</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Канарейкiн Володимир Iванович</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Скоропад Любов Степанiвна</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sectPr w:rsidR="00000000">
          <w:pgSz w:w="12240" w:h="15840"/>
          <w:pgMar w:top="850" w:right="850" w:bottom="850" w:left="1400" w:header="708" w:footer="708" w:gutter="0"/>
          <w:cols w:space="720"/>
          <w:noEndnote/>
        </w:sectPr>
      </w:pPr>
    </w:p>
    <w:tbl>
      <w:tblPr>
        <w:tblW w:w="0" w:type="auto"/>
        <w:tblInd w:w="108" w:type="dxa"/>
        <w:tblLayout w:type="fixed"/>
        <w:tblLook w:val="0000"/>
      </w:tblPr>
      <w:tblGrid>
        <w:gridCol w:w="2160"/>
        <w:gridCol w:w="4466"/>
        <w:gridCol w:w="1654"/>
        <w:gridCol w:w="1720"/>
      </w:tblGrid>
      <w:tr w:rsidR="00000000">
        <w:tblPrEx>
          <w:tblCellMar>
            <w:top w:w="0" w:type="dxa"/>
            <w:bottom w:w="0" w:type="dxa"/>
          </w:tblCellMar>
        </w:tblPrEx>
        <w:trPr>
          <w:gridBefore w:val="3"/>
          <w:wBefore w:w="8280" w:type="dxa"/>
          <w:trHeight w:val="300"/>
        </w:trPr>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КОДИ</w:t>
            </w:r>
          </w:p>
        </w:tc>
      </w:tr>
      <w:tr w:rsidR="00000000">
        <w:tblPrEx>
          <w:tblCellMar>
            <w:top w:w="0" w:type="dxa"/>
            <w:bottom w:w="0" w:type="dxa"/>
          </w:tblCellMar>
        </w:tblPrEx>
        <w:trPr>
          <w:gridBefore w:val="2"/>
          <w:wBefore w:w="6626" w:type="dxa"/>
          <w:trHeight w:val="300"/>
        </w:trPr>
        <w:tc>
          <w:tcPr>
            <w:tcW w:w="1654"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Дата</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66"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Вiдкрите акцiонерне товариство "Елегал"</w:t>
            </w:r>
          </w:p>
        </w:tc>
        <w:tc>
          <w:tcPr>
            <w:tcW w:w="1654"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ЄДРПОУ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14308612</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фінансові результати</w:t>
      </w: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сукупний дохід)</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2020 рік</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 Фінансові результати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524"/>
        <w:gridCol w:w="1205"/>
        <w:gridCol w:w="296"/>
        <w:gridCol w:w="1349"/>
      </w:tblGrid>
      <w:tr w:rsidR="00000000">
        <w:tblPrEx>
          <w:tblCellMar>
            <w:top w:w="0" w:type="dxa"/>
            <w:bottom w:w="0" w:type="dxa"/>
          </w:tblCellMar>
        </w:tblPrEx>
        <w:trPr>
          <w:gridBefore w:val="3"/>
          <w:wBefore w:w="7150" w:type="dxa"/>
          <w:trHeight w:val="280"/>
        </w:trPr>
        <w:tc>
          <w:tcPr>
            <w:tcW w:w="1501" w:type="dxa"/>
            <w:gridSpan w:val="2"/>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349"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1801003</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665</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711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Чисті зароблені страхові премії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Премії підписані,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Премії, передані у перестрахування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резерву незароблених премій,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частки перестраховиків у резерві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2014</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( 868 )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( 952 )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Чисті понесені збитки за страховими виплатами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Валовий:</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( 203 )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( 241 )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(витрати) від зміни у резервах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(витрати) від зміни інших страхових резервів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інших страхових резервів,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частки перестраховиків в інших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зміни вартості активів, які оцінюються за справедливою вартістю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первісного визнання біологічних активів і сільськогосподарської продукції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використання коштів, вивільнених від оподаткування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Адміністративні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на збут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від зміни вартості активів, які оцінюються за справедливою вартістю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від первісного визнання біологічних активів і сільськогосподарської продукції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Фінансовий результат від операційної діяльності:</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( 203 )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( 241 )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участі в капіталі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фінансові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благодійної допомоги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Втрати від участі в капіталі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Прибуток (збиток) від впливу інфляції на монетарні статті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Фінансовий результат до оподаткування:</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( 203 )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( 241 )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(дохід)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Прибуток (збиток) від припиненої діяльності після оподаткування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фінансовий результат:</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( 203 )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( 241 )</w:t>
            </w:r>
          </w:p>
        </w:tc>
      </w:tr>
    </w:tbl>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II. Сукупний дохід</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Дооцінка (уцінка) необоротних активів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Дооцінка (уцінка) фінансових інструментів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Накопичені курсові різниці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Частка іншого сукупного доходу асоційованих та спільних підприємств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2445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 до оподаткування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2450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 пов’язаний з іншим сукупним доходом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2455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 після оподаткування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2460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Сукупний дохід (сума рядків 2350, 2355 та 2460)</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2465</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-241</w:t>
            </w:r>
          </w:p>
        </w:tc>
      </w:tr>
    </w:tbl>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III. Елементи операційних витрат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статті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Матеріальні затрати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на оплату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Відрахування на соціальні заходи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Разом</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2550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ІV. Розрахунок показників прибутковості акцій</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статті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Середньорічна кількість простих акцій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14 420 374</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14 420 374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Скоригована середньорічна кількість простих акцій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14 420 374</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14 420 374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прибуток (збиток)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0,000000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0,000000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Скоригований чистий прибуток (збиток)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0,000000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0,000000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Дивіденди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2650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w:t>
            </w:r>
          </w:p>
        </w:tc>
        <w:tc>
          <w:tcPr>
            <w:tcW w:w="1645" w:type="dxa"/>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w:t>
            </w:r>
          </w:p>
        </w:tc>
      </w:tr>
    </w:tbl>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Чистий дохiд вiд реалiзацiї продукцiї</w:t>
      </w:r>
      <w:r>
        <w:rPr>
          <w:rFonts w:ascii="Times New Roman CYR" w:hAnsi="Times New Roman CYR" w:cs="Times New Roman CYR"/>
        </w:rPr>
        <w:t xml:space="preserve"> (товарiв, робiт, послуг) за 2020 р. становить 665 тис.грн.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Канарейкiн Володимир Iванович</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Скоропад Любов Степанiвна</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sectPr w:rsidR="00000000">
          <w:pgSz w:w="12240" w:h="15840"/>
          <w:pgMar w:top="850" w:right="850" w:bottom="850" w:left="1400" w:header="708" w:footer="708" w:gutter="0"/>
          <w:cols w:space="720"/>
          <w:noEndnote/>
        </w:sectPr>
      </w:pP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00"/>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КОДИ</w:t>
            </w:r>
          </w:p>
        </w:tc>
      </w:tr>
      <w:tr w:rsidR="00000000">
        <w:tblPrEx>
          <w:tblCellMar>
            <w:top w:w="0" w:type="dxa"/>
            <w:bottom w:w="0" w:type="dxa"/>
          </w:tblCellMar>
        </w:tblPrEx>
        <w:trPr>
          <w:gridBefore w:val="2"/>
          <w:wBefore w:w="6650" w:type="dxa"/>
          <w:trHeight w:val="200"/>
        </w:trPr>
        <w:tc>
          <w:tcPr>
            <w:tcW w:w="1990"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Вiдкрите акцiонерне товариство "Елегал"</w:t>
            </w:r>
          </w:p>
        </w:tc>
        <w:tc>
          <w:tcPr>
            <w:tcW w:w="1990"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14308612</w:t>
            </w:r>
          </w:p>
        </w:tc>
      </w:tr>
    </w:tbl>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rPr>
          <w:rFonts w:ascii="Times New Roman CYR" w:hAnsi="Times New Roman CYR" w:cs="Times New Roman CYR"/>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рух грошових коштів (за прямим методом)</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2020 рік</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№3</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Рух коштів у результаті операційної діяльності</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812</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921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Повернення податків і зборів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податку на додану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3006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Цільового фінансування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отримання субсидій, дотацій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ав</w:t>
            </w:r>
            <w:r>
              <w:rPr>
                <w:rFonts w:ascii="Times New Roman CYR" w:hAnsi="Times New Roman CYR" w:cs="Times New Roman CYR"/>
              </w:rPr>
              <w:t>ансів від покупців і замовників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повернення авансів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відсотків за залишками коштів на поточних рахунках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боржників неустойки (штрафів, пені)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операційної оренди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Надходження від отримання роялті, авторських винагород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страхових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фінансових установ від повернення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надходження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Витрачання на оплату: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( 216 )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( 367 )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( 288 )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( 252 )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Відрахувань на соціальні заходи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( 63 )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( 55 )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Зобов'язань з податків і зборів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( 238 )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( 246 )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зобов'язань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зобов'язань  з податку на додану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3117</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( 132 )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( 132 )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зобов'язань  з інших податків і зборів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3118</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( 106 )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( 114 )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авансів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повернення авансів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цільових внесків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3145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зобов'язань за страховими контрактами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фінансових установ на надання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витрачання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рух коштів від операційної діяльності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Рух коштів у результаті інвестиційної діяльності</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реалізації: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фінансових інвестицій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необоротних активів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Надходження від отриманих: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відсотків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дивідендів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деривативів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погашення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вибуття дочірнього підприємства та іншої господарської одиниці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надходження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придбання: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фінансових інвестицій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необоротних активів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Виплати за деривативами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надання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3275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придбання дочірнього підприємства та іншої господарської одиниці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платежі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рух коштів від інвестиційної діяльності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Рух коштів у результаті фінансової діяльності</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Власного капіталу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Отримання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продажу частки в дочірньому підприємстві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надходження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Викуп власних акцій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3345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Погашення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Сплату дивідендів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сплату відсотків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сплату заборгованості з фінансової оренди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придбання частки в дочірньому підприємстві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виплати неконтрольованим часткам у дочірніх підприємствах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3375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платежі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-2 )</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рух коштів від фінансової діяльності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рух коштів за звітний період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Залишок коштів на початок року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Вплив зміни валютних курсів на залишок коштів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Залишок коштів на кінець року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645"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bl>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Залишки коштiв на кiнець 2020 року становить 8 тис. 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Канарейкiн Володимир Iванович</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Скоропад Любов Степанiвна</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sectPr w:rsidR="00000000">
          <w:pgSz w:w="12240" w:h="15840"/>
          <w:pgMar w:top="850" w:right="850" w:bottom="850" w:left="1400" w:header="708" w:footer="708" w:gutter="0"/>
          <w:cols w:space="720"/>
          <w:noEndnote/>
        </w:sectPr>
      </w:pPr>
    </w:p>
    <w:tbl>
      <w:tblPr>
        <w:tblW w:w="0" w:type="auto"/>
        <w:tblInd w:w="3168" w:type="dxa"/>
        <w:tblLayout w:type="fixed"/>
        <w:tblLook w:val="0000"/>
      </w:tblPr>
      <w:tblGrid>
        <w:gridCol w:w="2240"/>
        <w:gridCol w:w="5500"/>
        <w:gridCol w:w="1800"/>
        <w:gridCol w:w="2000"/>
      </w:tblGrid>
      <w:tr w:rsidR="00000000">
        <w:tblPrEx>
          <w:tblCellMar>
            <w:top w:w="0" w:type="dxa"/>
            <w:bottom w:w="0" w:type="dxa"/>
          </w:tblCellMar>
        </w:tblPrEx>
        <w:trPr>
          <w:gridBefore w:val="3"/>
          <w:wBefore w:w="9540" w:type="dxa"/>
          <w:trHeight w:val="298"/>
        </w:trPr>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КОДИ</w:t>
            </w:r>
          </w:p>
        </w:tc>
      </w:tr>
      <w:tr w:rsidR="00000000">
        <w:tblPrEx>
          <w:tblCellMar>
            <w:top w:w="0" w:type="dxa"/>
            <w:bottom w:w="0" w:type="dxa"/>
          </w:tblCellMar>
        </w:tblPrEx>
        <w:trPr>
          <w:gridBefore w:val="2"/>
          <w:wBefore w:w="7740" w:type="dxa"/>
          <w:trHeight w:val="298"/>
        </w:trPr>
        <w:tc>
          <w:tcPr>
            <w:tcW w:w="1800"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c>
          <w:tcPr>
            <w:tcW w:w="2240" w:type="dxa"/>
            <w:tcBorders>
              <w:top w:val="nil"/>
              <w:left w:val="nil"/>
              <w:bottom w:val="nil"/>
              <w:right w:val="nil"/>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5500" w:type="dxa"/>
            <w:vMerge w:val="restart"/>
            <w:tcBorders>
              <w:top w:val="nil"/>
              <w:left w:val="nil"/>
              <w:bottom w:val="nil"/>
              <w:right w:val="nil"/>
            </w:tcBorders>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Вiдкрите акцiонерне товариство "Елегал"</w:t>
            </w:r>
          </w:p>
        </w:tc>
        <w:tc>
          <w:tcPr>
            <w:tcW w:w="1800" w:type="dxa"/>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14308612</w:t>
            </w:r>
          </w:p>
        </w:tc>
      </w:tr>
    </w:tbl>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власний капітал</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2020 рік</w:t>
      </w:r>
    </w:p>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№4</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0"/>
        <w:gridCol w:w="1250"/>
        <w:gridCol w:w="1100"/>
        <w:gridCol w:w="1350"/>
        <w:gridCol w:w="1300"/>
        <w:gridCol w:w="1200"/>
        <w:gridCol w:w="1300"/>
        <w:gridCol w:w="950"/>
        <w:gridCol w:w="550"/>
        <w:gridCol w:w="1250"/>
        <w:gridCol w:w="50"/>
        <w:gridCol w:w="1250"/>
      </w:tblGrid>
      <w:tr w:rsidR="00000000">
        <w:tblPrEx>
          <w:tblCellMar>
            <w:top w:w="0" w:type="dxa"/>
            <w:bottom w:w="0" w:type="dxa"/>
          </w:tblCellMar>
        </w:tblPrEx>
        <w:trPr>
          <w:gridBefore w:val="8"/>
          <w:wBefore w:w="11500" w:type="dxa"/>
          <w:trHeight w:val="280"/>
        </w:trPr>
        <w:tc>
          <w:tcPr>
            <w:tcW w:w="1800" w:type="dxa"/>
            <w:gridSpan w:val="2"/>
            <w:tcBorders>
              <w:top w:val="nil"/>
              <w:left w:val="nil"/>
              <w:bottom w:val="nil"/>
              <w:right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300" w:type="dxa"/>
            <w:gridSpan w:val="2"/>
            <w:tcBorders>
              <w:top w:val="single" w:sz="6" w:space="0" w:color="auto"/>
              <w:left w:val="single" w:sz="6" w:space="0" w:color="auto"/>
              <w:bottom w:val="single" w:sz="6" w:space="0" w:color="auto"/>
            </w:tcBorders>
            <w:vAlign w:val="center"/>
          </w:tcPr>
          <w:p w:rsidR="00000000" w:rsidRDefault="00384175">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1801005</w:t>
            </w:r>
          </w:p>
        </w:tc>
      </w:tr>
      <w:tr w:rsidR="00000000">
        <w:tblPrEx>
          <w:tblCellMar>
            <w:top w:w="0" w:type="dxa"/>
            <w:bottom w:w="0" w:type="dxa"/>
          </w:tblCellMar>
        </w:tblPrEx>
        <w:trPr>
          <w:trHeight w:val="530"/>
        </w:trPr>
        <w:tc>
          <w:tcPr>
            <w:tcW w:w="3050" w:type="dxa"/>
            <w:tcBorders>
              <w:top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125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1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Зареєстрований капітал</w:t>
            </w:r>
          </w:p>
        </w:tc>
        <w:tc>
          <w:tcPr>
            <w:tcW w:w="135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Капітал у дооцінках</w:t>
            </w:r>
          </w:p>
        </w:tc>
        <w:tc>
          <w:tcPr>
            <w:tcW w:w="13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Додатковий капітал</w:t>
            </w:r>
          </w:p>
        </w:tc>
        <w:tc>
          <w:tcPr>
            <w:tcW w:w="12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Резервний капітал</w:t>
            </w:r>
          </w:p>
        </w:tc>
        <w:tc>
          <w:tcPr>
            <w:tcW w:w="13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15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Неоплачений капітал</w:t>
            </w:r>
          </w:p>
        </w:tc>
        <w:tc>
          <w:tcPr>
            <w:tcW w:w="13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Вилучений капітал</w:t>
            </w:r>
          </w:p>
        </w:tc>
        <w:tc>
          <w:tcPr>
            <w:tcW w:w="1250" w:type="dxa"/>
            <w:tcBorders>
              <w:top w:val="single" w:sz="6" w:space="0" w:color="auto"/>
              <w:left w:val="single" w:sz="6" w:space="0" w:color="auto"/>
              <w:bottom w:val="single" w:sz="6" w:space="0" w:color="auto"/>
            </w:tcBorders>
            <w:shd w:val="clear" w:color="auto" w:fill="E6E6E6"/>
            <w:vAlign w:val="center"/>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Всього</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250"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100"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350"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300"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200"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300" w:type="dxa"/>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500"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300"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250" w:type="dxa"/>
            <w:tcBorders>
              <w:top w:val="single" w:sz="6" w:space="0" w:color="auto"/>
              <w:left w:val="single" w:sz="6" w:space="0" w:color="auto"/>
              <w:bottom w:val="single" w:sz="6" w:space="0" w:color="auto"/>
            </w:tcBorders>
            <w:shd w:val="clear" w:color="auto" w:fill="E6E6E6"/>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Залишок на початок року</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4000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5 223</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-5 492</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3 336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Коригування:</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облікової політики</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4005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Виправлення помилок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4010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Інші зміни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4090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Скоригований залишок на початок року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4095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5 223</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-5 492</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3 336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за звітний період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4100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-203</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-203</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Інший сукупний дохід за звітний період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Дооцінка (уцінка) необоротних активів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4111</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Дооцінка (уцінка) фінансових інструментів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4112</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Накопичені курсові різниці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4113</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Частка іншого сукупного доходу асоційованих і спільних підприємств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4114</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Інший сукупний дохід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4116</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Розподіл прибутку: </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Виплати власникам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4200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Спрямування прибутку до зареєстрованого капіталу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4205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Відрахування до резервного капіталу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4210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Сума чистого прибутку, належна до бюджету відповідно до законодавства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4215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Сума чистого прибутку на створення спеціальних (цільових) фондів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4220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Сума чистого прибутку на матеріальне заохочення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4225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Внески учасників: </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Внески до капіталу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4240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Погашення заборгованості з капіталу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4245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Вилучення капіталу: </w:t>
            </w:r>
          </w:p>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Викуп акцій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4260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Перепродаж викуплених акцій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4265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Анулювання викуплених акцій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4270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Вилучення частки в капіталі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4275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Зменшення номінальної вартості акцій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4280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Інші зміни в капіталі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4290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Придбання (продаж) неконтрольованої частки в дочірньому підприємстві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4291</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змін у капіталі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4295</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384175">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Залишок на кінець року </w:t>
            </w:r>
          </w:p>
        </w:tc>
        <w:tc>
          <w:tcPr>
            <w:tcW w:w="12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4300</w:t>
            </w:r>
          </w:p>
        </w:tc>
        <w:tc>
          <w:tcPr>
            <w:tcW w:w="11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3 605</w:t>
            </w:r>
          </w:p>
        </w:tc>
        <w:tc>
          <w:tcPr>
            <w:tcW w:w="135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5 223</w:t>
            </w:r>
          </w:p>
        </w:tc>
        <w:tc>
          <w:tcPr>
            <w:tcW w:w="12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-5 717</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384175">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3 111</w:t>
            </w:r>
          </w:p>
        </w:tc>
      </w:tr>
    </w:tbl>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Статутний капiтал Товариства ВАТ "Елегал" не змiнювався у 2020 роцi, Зареєстрований статутний капiтал становить 3605 тис.грн., який станом на 31.12.2020 р. внесено в повному обсязi. Статутний капiтал Товариства подiлений на 14420374 простих iменн</w:t>
      </w:r>
      <w:r>
        <w:rPr>
          <w:rFonts w:ascii="Times New Roman CYR" w:hAnsi="Times New Roman CYR" w:cs="Times New Roman CYR"/>
        </w:rPr>
        <w:t>их акцiй номiнальною вартiстю 0,25 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Канарейкiн Володимир Iванович</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Скоропад Любов Степанiвна</w:t>
      </w:r>
    </w:p>
    <w:p w:rsidR="00000000" w:rsidRDefault="00384175">
      <w:pPr>
        <w:widowControl w:val="0"/>
        <w:autoSpaceDE w:val="0"/>
        <w:autoSpaceDN w:val="0"/>
        <w:adjustRightInd w:val="0"/>
        <w:spacing w:after="0" w:line="240" w:lineRule="auto"/>
        <w:jc w:val="both"/>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both"/>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Примітки до фінансової звітності, складеної відповідно до міжнародних стандартів фінансової з</w:t>
      </w:r>
      <w:r>
        <w:rPr>
          <w:rFonts w:ascii="Times New Roman CYR" w:hAnsi="Times New Roman CYR" w:cs="Times New Roman CYR"/>
          <w:b/>
          <w:bCs/>
          <w:sz w:val="28"/>
          <w:szCs w:val="28"/>
        </w:rPr>
        <w:t>вітності</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Рiчна фiнансова звiтнiсть, складена вiдповiдно до Мiжнародних стандартiв бухгалтерського облiку (примiтки)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Примiтки до фiнансової звiтностi</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Вiдкритого акцiонерного товариства  "ЕЛЕГАЛ"</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 2020 рiк</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1.ПРЕДСТАВЛЕННЯ ПРО ВIДПОВIДНIСТЬ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Фiнансова звiтнiсть за 2020 рiк складена на основi бухгалтерських даних вiдповiдно до Мiжнародних стандартiв фiнансової звiтностi (далi - МСФЗ).</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Фiнансова звiтнiсть Товариства представлена в нацiональнiй валютi України (гривнi),  яка являється функцiональн</w:t>
      </w:r>
      <w:r>
        <w:rPr>
          <w:rFonts w:ascii="Times New Roman CYR" w:hAnsi="Times New Roman CYR" w:cs="Times New Roman CYR"/>
          <w:sz w:val="24"/>
          <w:szCs w:val="24"/>
        </w:rPr>
        <w:t>ою  валютою, а усi суми закругленi до цiлих тисяч.</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Застосована Товариством облiкова полiтика вiдповiдає тiй, що використовувалась у попередньому фiнансовому роцi.</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Фiнансова звiтнiсть складається iз Балансу (Звiту про фiнансовий стан) станом на 31 грудня 2</w:t>
      </w:r>
      <w:r>
        <w:rPr>
          <w:rFonts w:ascii="Times New Roman CYR" w:hAnsi="Times New Roman CYR" w:cs="Times New Roman CYR"/>
          <w:sz w:val="24"/>
          <w:szCs w:val="24"/>
        </w:rPr>
        <w:t>020 року, Звiту про фiнансовi результати (Звiту про сукупний дохiд), Звiту про рух грошових коштiв (за прямим способом) , Звiту про власний капiтал,  а також Примiток до фiнансової звiтностi.</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Iнформацiю про облiкову полiтику Товариства, яка вiдсутня у фiна</w:t>
      </w:r>
      <w:r>
        <w:rPr>
          <w:rFonts w:ascii="Times New Roman CYR" w:hAnsi="Times New Roman CYR" w:cs="Times New Roman CYR"/>
          <w:sz w:val="24"/>
          <w:szCs w:val="24"/>
        </w:rPr>
        <w:t>нсових звiтах, але є обов'язковою вiдповiдно до МСФЗ, а також додатковий аналiз статей звiтностi вiдображено у примiтках до рiчної фiнансової звiтностi, якi мають таку структуру: iнформацiя про Товариство; база пiдготовки фiнансової звiтностi; iстотнi бухг</w:t>
      </w:r>
      <w:r>
        <w:rPr>
          <w:rFonts w:ascii="Times New Roman CYR" w:hAnsi="Times New Roman CYR" w:cs="Times New Roman CYR"/>
          <w:sz w:val="24"/>
          <w:szCs w:val="24"/>
        </w:rPr>
        <w:t>алтерськi оцiнки; основнi принципи бухгалтерського облiку; деталiзацiя основних статей звiтностi; операцiї з пов'язаними сторонами; фактичнi та потенцiйнi зобов'язання; подiї пiсля дати фiнансової звiтностi.</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ОСНОВНI ПРИНЦИПИ ОБЛIКОВОЇ ПОЛIТИКИ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Заст</w:t>
      </w:r>
      <w:r>
        <w:rPr>
          <w:rFonts w:ascii="Times New Roman CYR" w:hAnsi="Times New Roman CYR" w:cs="Times New Roman CYR"/>
          <w:sz w:val="24"/>
          <w:szCs w:val="24"/>
        </w:rPr>
        <w:t>осування припущення безперервностi дiяльностi.</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Дана фiнансова звiтнiсть була пiдготовлена виходячи з припущення про безперервнiсть дiяльностi.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НЕОБОРОТНI АКТИВИ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Балансова вартiсть необоротних активiв на звiтну дату склала 3778,7 тис. грн., що вiдо</w:t>
      </w:r>
      <w:r>
        <w:rPr>
          <w:rFonts w:ascii="Times New Roman CYR" w:hAnsi="Times New Roman CYR" w:cs="Times New Roman CYR"/>
          <w:sz w:val="24"/>
          <w:szCs w:val="24"/>
        </w:rPr>
        <w:t>бражена на балансi за собiвартiстю придбання активiв за мiнусом зносу.</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ОБОРОТНI АКТИВИ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Балансова вартiсть запасiв дорiвнювала її справедливої вартостi та становила 156,8 тис. 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Балансова вартiсть дебiторської заборгованостi за продукцiю, товари, роб</w:t>
      </w:r>
      <w:r>
        <w:rPr>
          <w:rFonts w:ascii="Times New Roman CYR" w:hAnsi="Times New Roman CYR" w:cs="Times New Roman CYR"/>
          <w:sz w:val="24"/>
          <w:szCs w:val="24"/>
        </w:rPr>
        <w:t xml:space="preserve">оти, послуги дорiвнювала 30,2  тис. грн.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Дебiторська заборгованiсть за розрахунками з бюджетом дорiвнювала 0 тис. 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Грошi та їх еквiваленти становили 8,2 тис. грн. у тому числi  на рахунках в банках 8,2 тис. грн.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Запаси - 156,8 тис.грн.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ЧИСТА ВАРТ</w:t>
      </w:r>
      <w:r>
        <w:rPr>
          <w:rFonts w:ascii="Times New Roman CYR" w:hAnsi="Times New Roman CYR" w:cs="Times New Roman CYR"/>
          <w:sz w:val="24"/>
          <w:szCs w:val="24"/>
        </w:rPr>
        <w:t>IСТЬ АКТИВIВ</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 грудня 2020 року у Товариствi  чиста вартiсть активiв склала  3111,2 тис. грн., та  була меншою за розмiр зареєстрованого (пайового) капiталу i  вiдображалася в балансi Товариства у складi Власного капiталу.</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6.ДОВГОСТРОКОВI ЗОБОВ"ЯЗАННЯ I ЗАБЕЗПЕЧЕННЯ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Довгостроковi зобов"язання i забезпечення станом на 31.12.2020 року становлять195,1 тис.грн.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7.  ПОТОЧНI ЗОБОВ'ЯЗАННЯ I ЗАБЕЗПЕЧЕННЯ</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Поточна кредиторська заборгованiсть за отриманi Товариством товари, роботи, </w:t>
      </w:r>
      <w:r>
        <w:rPr>
          <w:rFonts w:ascii="Times New Roman CYR" w:hAnsi="Times New Roman CYR" w:cs="Times New Roman CYR"/>
          <w:sz w:val="24"/>
          <w:szCs w:val="24"/>
        </w:rPr>
        <w:t>послуги на 31 грудня 2020 року  становила 0 тис. 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Заборгованiсть за розрахунками з бюджетом на 31.12.2020 р. становила 298,9 тис. грн.  Заборгованiсть за розрахунками зi страхування на 31.12.2020 р. становила 308,9 тис. грн.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Заборгованiсть за розрахун</w:t>
      </w:r>
      <w:r>
        <w:rPr>
          <w:rFonts w:ascii="Times New Roman CYR" w:hAnsi="Times New Roman CYR" w:cs="Times New Roman CYR"/>
          <w:sz w:val="24"/>
          <w:szCs w:val="24"/>
        </w:rPr>
        <w:t xml:space="preserve">ками з оплати працi на 31.12.2020 р. становила 3,8 тис. грн.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Заборгованiсть за iншими поточними зобов'язаннями станом на 31.12.2020 р. становила56,0 тис. грн.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Забезпечення виплат працiвникiв не здiйснювались.</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ДОХОДИ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Дохiд вiд реалiзацiї товарiв, робiт</w:t>
      </w:r>
      <w:r>
        <w:rPr>
          <w:rFonts w:ascii="Times New Roman CYR" w:hAnsi="Times New Roman CYR" w:cs="Times New Roman CYR"/>
          <w:sz w:val="24"/>
          <w:szCs w:val="24"/>
        </w:rPr>
        <w:t>, послуг  за 2020 рiк склав 664,9 тис. 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9.  ВИТРАТИ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Собiвартiсть реалiзованої продукцiї - 868,3 тис.грн.</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 ПРИБУТКИ ТА ЗБИТКИ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Зьитки Товариства у 2020 роцi - 203,4 тис.грн.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11. ПОДIЇ ПIСЛЯ ЗВIТНОЇ ДАТИ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Пiсля звiтної дати (31 грудня 2020 року) </w:t>
      </w:r>
      <w:r>
        <w:rPr>
          <w:rFonts w:ascii="Times New Roman CYR" w:hAnsi="Times New Roman CYR" w:cs="Times New Roman CYR"/>
          <w:sz w:val="24"/>
          <w:szCs w:val="24"/>
        </w:rPr>
        <w:t>не вiдбулося жодних подiй, якi справили б iстотний вплив на показники фiнансової звiтностi Товариства та вимагали би розкриття iнформацiї в примiтках до цiєї фiнансової звiтностi.</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ОПЕРАЦIЇ З ПОВЯ'ЗАНИМИ ОСОБАМИ</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Протягом 2020 року Товариство  не ма</w:t>
      </w:r>
      <w:r>
        <w:rPr>
          <w:rFonts w:ascii="Times New Roman CYR" w:hAnsi="Times New Roman CYR" w:cs="Times New Roman CYR"/>
          <w:sz w:val="24"/>
          <w:szCs w:val="24"/>
        </w:rPr>
        <w:t xml:space="preserve">ло вiдносин з пов`язаними особами. </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Голова лiквiдацiйної комiсiї                                           Канарейкiн В.I.</w:t>
      </w:r>
    </w:p>
    <w:p w:rsidR="00000000" w:rsidRDefault="00384175">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38417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XVI. Твердження щодо річної інформації</w:t>
      </w:r>
    </w:p>
    <w:p w:rsidR="00000000" w:rsidRDefault="0038417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рiчна iнформацiя зформована на пiдставi вимог чинного законодавства та фiнансосвої звiтностi.</w:t>
      </w:r>
    </w:p>
    <w:p w:rsidR="00384175" w:rsidRDefault="00384175">
      <w:pPr>
        <w:widowControl w:val="0"/>
        <w:autoSpaceDE w:val="0"/>
        <w:autoSpaceDN w:val="0"/>
        <w:adjustRightInd w:val="0"/>
        <w:spacing w:after="0" w:line="240" w:lineRule="auto"/>
        <w:rPr>
          <w:rFonts w:ascii="Times New Roman CYR" w:hAnsi="Times New Roman CYR" w:cs="Times New Roman CYR"/>
          <w:sz w:val="24"/>
          <w:szCs w:val="24"/>
        </w:rPr>
      </w:pPr>
    </w:p>
    <w:sectPr w:rsidR="00384175">
      <w:pgSz w:w="12240" w:h="15840"/>
      <w:pgMar w:top="850" w:right="850" w:bottom="850" w:left="140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0640B1"/>
    <w:rsid w:val="000640B1"/>
    <w:rsid w:val="0038417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42</Pages>
  <Words>40960</Words>
  <Characters>23348</Characters>
  <Application>Microsoft Office Word</Application>
  <DocSecurity>0</DocSecurity>
  <Lines>194</Lines>
  <Paragraphs>128</Paragraphs>
  <ScaleCrop>false</ScaleCrop>
  <Company/>
  <LinksUpToDate>false</LinksUpToDate>
  <CharactersWithSpaces>64180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Urij</dc:creator>
  <cp:lastModifiedBy>Urij</cp:lastModifiedBy>
  <cp:revision>2</cp:revision>
  <dcterms:created xsi:type="dcterms:W3CDTF">2021-04-12T06:26:00Z</dcterms:created>
  <dcterms:modified xsi:type="dcterms:W3CDTF">2021-04-12T06:26:00Z</dcterms:modified>
</cp:coreProperties>
</file>