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3"/>
        <w:rPr>
          <w:rFonts w:eastAsia="Times New Roman"/>
          <w:color w:val="000000"/>
        </w:rPr>
      </w:pPr>
      <w:r>
        <w:rPr>
          <w:rFonts w:eastAsia="Times New Roman"/>
          <w:color w:val="000000"/>
        </w:rPr>
        <w:t>Титульний аркуш Повідомлення</w:t>
        <w:br/>
        <w:t>(Повідомлення про інформацію)</w:t>
      </w:r>
    </w:p>
    <w:tbl>
      <w:tblPr>
        <w:tblW w:w="2500" w:type="pct"/>
        <w:jc w:val="left"/>
        <w:tblInd w:w="-45" w:type="dxa"/>
        <w:tblBorders/>
        <w:tblCellMar>
          <w:top w:w="15" w:type="dxa"/>
          <w:left w:w="15" w:type="dxa"/>
          <w:bottom w:w="15" w:type="dxa"/>
          <w:right w:w="15" w:type="dxa"/>
        </w:tblCellMar>
        <w:tblLook w:firstRow="1" w:noVBand="1" w:lastRow="0" w:firstColumn="1" w:lastColumn="0" w:noHBand="0" w:val="04a0"/>
      </w:tblPr>
      <w:tblGrid>
        <w:gridCol w:w="5102"/>
      </w:tblGrid>
      <w:tr>
        <w:trPr/>
        <w:tc>
          <w:tcPr>
            <w:tcW w:w="5102" w:type="dxa"/>
            <w:tcBorders/>
            <w:shd w:fill="auto" w:val="clear"/>
            <w:vAlign w:val="center"/>
          </w:tcPr>
          <w:p>
            <w:pPr>
              <w:pStyle w:val="Normal"/>
              <w:jc w:val="center"/>
              <w:rPr>
                <w:rFonts w:eastAsia="Times New Roman"/>
                <w:color w:val="000000"/>
              </w:rPr>
            </w:pPr>
            <w:r>
              <w:rPr>
                <w:rFonts w:eastAsia="Times New Roman"/>
                <w:color w:val="000000"/>
              </w:rPr>
            </w:r>
          </w:p>
        </w:tc>
      </w:tr>
    </w:tbl>
    <w:p>
      <w:pPr>
        <w:pStyle w:val="Normal"/>
        <w:rPr>
          <w:rFonts w:eastAsia="Times New Roman"/>
          <w:color w:val="000000"/>
        </w:rPr>
      </w:pPr>
      <w:r>
        <w:rPr>
          <w:rFonts w:eastAsia="Times New Roman"/>
          <w:color w:val="000000"/>
        </w:rPr>
      </w:r>
    </w:p>
    <w:tbl>
      <w:tblPr>
        <w:tblW w:w="5000" w:type="pct"/>
        <w:jc w:val="left"/>
        <w:tblInd w:w="45" w:type="dxa"/>
        <w:tblBorders/>
        <w:tblCellMar>
          <w:top w:w="60" w:type="dxa"/>
          <w:left w:w="60" w:type="dxa"/>
          <w:bottom w:w="60" w:type="dxa"/>
          <w:right w:w="60" w:type="dxa"/>
        </w:tblCellMar>
        <w:tblLook w:firstRow="1" w:noVBand="1" w:lastRow="0" w:firstColumn="1" w:lastColumn="0" w:noHBand="0" w:val="04a0"/>
      </w:tblPr>
      <w:tblGrid>
        <w:gridCol w:w="344"/>
        <w:gridCol w:w="4197"/>
        <w:gridCol w:w="179"/>
        <w:gridCol w:w="811"/>
        <w:gridCol w:w="179"/>
        <w:gridCol w:w="4493"/>
      </w:tblGrid>
      <w:tr>
        <w:trPr/>
        <w:tc>
          <w:tcPr>
            <w:tcW w:w="344" w:type="dxa"/>
            <w:tcBorders/>
            <w:shd w:fill="auto" w:val="clear"/>
            <w:vAlign w:val="center"/>
          </w:tcPr>
          <w:p>
            <w:pPr>
              <w:pStyle w:val="Normal"/>
              <w:jc w:val="center"/>
              <w:rPr>
                <w:rFonts w:eastAsia="Times New Roman"/>
                <w:color w:val="000000"/>
              </w:rPr>
            </w:pPr>
            <w:r>
              <w:rPr>
                <w:rFonts w:eastAsia="Times New Roman"/>
                <w:color w:val="000000"/>
              </w:rPr>
            </w:r>
          </w:p>
        </w:tc>
        <w:tc>
          <w:tcPr>
            <w:tcW w:w="5187" w:type="dxa"/>
            <w:gridSpan w:val="3"/>
            <w:tcBorders/>
            <w:shd w:fill="auto" w:val="clear"/>
            <w:vAlign w:val="center"/>
          </w:tcPr>
          <w:p>
            <w:pPr>
              <w:pStyle w:val="Normal"/>
              <w:jc w:val="center"/>
              <w:rPr>
                <w:rFonts w:eastAsia="Times New Roman"/>
                <w:color w:val="000000"/>
              </w:rPr>
            </w:pPr>
            <w:r>
              <w:rPr>
                <w:rFonts w:eastAsia="Times New Roman"/>
                <w:color w:val="000000"/>
              </w:rPr>
              <w:t>09.04.2019</w:t>
            </w:r>
          </w:p>
        </w:tc>
        <w:tc>
          <w:tcPr>
            <w:tcW w:w="4672" w:type="dxa"/>
            <w:gridSpan w:val="2"/>
            <w:tcBorders/>
            <w:shd w:fill="auto" w:val="clear"/>
            <w:vAlign w:val="center"/>
          </w:tcPr>
          <w:p>
            <w:pPr>
              <w:pStyle w:val="Normal"/>
              <w:jc w:val="center"/>
              <w:rPr>
                <w:rFonts w:eastAsia="Times New Roman"/>
                <w:color w:val="000000"/>
              </w:rPr>
            </w:pPr>
            <w:r>
              <w:rPr>
                <w:rFonts w:eastAsia="Times New Roman"/>
                <w:color w:val="000000"/>
              </w:rPr>
            </w:r>
          </w:p>
        </w:tc>
      </w:tr>
      <w:tr>
        <w:trPr/>
        <w:tc>
          <w:tcPr>
            <w:tcW w:w="344" w:type="dxa"/>
            <w:tcBorders/>
            <w:shd w:fill="auto" w:val="clear"/>
            <w:vAlign w:val="center"/>
          </w:tcPr>
          <w:p>
            <w:pPr>
              <w:pStyle w:val="Normal"/>
              <w:jc w:val="center"/>
              <w:rPr>
                <w:rFonts w:eastAsia="Times New Roman"/>
                <w:color w:val="000000"/>
              </w:rPr>
            </w:pPr>
            <w:r>
              <w:rPr>
                <w:rFonts w:eastAsia="Times New Roman"/>
                <w:color w:val="000000"/>
              </w:rPr>
            </w:r>
          </w:p>
        </w:tc>
        <w:tc>
          <w:tcPr>
            <w:tcW w:w="5187" w:type="dxa"/>
            <w:gridSpan w:val="3"/>
            <w:tcBorders>
              <w:top w:val="single" w:sz="6" w:space="0" w:color="CCCCCC"/>
            </w:tcBorders>
            <w:shd w:fill="auto" w:val="clear"/>
            <w:vAlign w:val="center"/>
          </w:tcPr>
          <w:p>
            <w:pPr>
              <w:pStyle w:val="Normal"/>
              <w:jc w:val="center"/>
              <w:rPr>
                <w:rFonts w:eastAsia="Times New Roman"/>
                <w:color w:val="000000"/>
              </w:rPr>
            </w:pPr>
            <w:r>
              <w:rPr>
                <w:rStyle w:val="Smalltext1"/>
                <w:rFonts w:eastAsia="Times New Roman"/>
                <w:color w:val="000000"/>
              </w:rPr>
              <w:t>(дата реєстрації емітентом електронного документа)</w:t>
            </w:r>
          </w:p>
        </w:tc>
        <w:tc>
          <w:tcPr>
            <w:tcW w:w="4672" w:type="dxa"/>
            <w:gridSpan w:val="2"/>
            <w:tcBorders/>
            <w:shd w:fill="auto" w:val="clear"/>
            <w:vAlign w:val="center"/>
          </w:tcPr>
          <w:p>
            <w:pPr>
              <w:pStyle w:val="Normal"/>
              <w:jc w:val="center"/>
              <w:rPr>
                <w:rFonts w:eastAsia="Times New Roman"/>
                <w:color w:val="000000"/>
              </w:rPr>
            </w:pPr>
            <w:r>
              <w:rPr>
                <w:rFonts w:eastAsia="Times New Roman"/>
                <w:color w:val="000000"/>
              </w:rPr>
              <w:t> </w:t>
            </w:r>
          </w:p>
        </w:tc>
      </w:tr>
      <w:tr>
        <w:trPr/>
        <w:tc>
          <w:tcPr>
            <w:tcW w:w="344" w:type="dxa"/>
            <w:tcBorders/>
            <w:shd w:fill="auto" w:val="clear"/>
            <w:vAlign w:val="center"/>
          </w:tcPr>
          <w:p>
            <w:pPr>
              <w:pStyle w:val="Normal"/>
              <w:jc w:val="right"/>
              <w:rPr>
                <w:rFonts w:eastAsia="Times New Roman"/>
                <w:color w:val="000000"/>
              </w:rPr>
            </w:pPr>
            <w:r>
              <w:rPr>
                <w:rFonts w:eastAsia="Times New Roman"/>
                <w:color w:val="000000"/>
              </w:rPr>
              <w:t>№</w:t>
            </w:r>
          </w:p>
        </w:tc>
        <w:tc>
          <w:tcPr>
            <w:tcW w:w="5187" w:type="dxa"/>
            <w:gridSpan w:val="3"/>
            <w:tcBorders/>
            <w:shd w:fill="auto" w:val="clear"/>
            <w:vAlign w:val="center"/>
          </w:tcPr>
          <w:p>
            <w:pPr>
              <w:pStyle w:val="Normal"/>
              <w:jc w:val="center"/>
              <w:rPr>
                <w:rFonts w:eastAsia="Times New Roman"/>
                <w:color w:val="000000"/>
              </w:rPr>
            </w:pPr>
            <w:r>
              <w:rPr>
                <w:rFonts w:eastAsia="Times New Roman"/>
                <w:color w:val="000000"/>
              </w:rPr>
              <w:t>1</w:t>
            </w:r>
          </w:p>
        </w:tc>
        <w:tc>
          <w:tcPr>
            <w:tcW w:w="4672" w:type="dxa"/>
            <w:gridSpan w:val="2"/>
            <w:tcBorders/>
            <w:shd w:fill="auto" w:val="clear"/>
            <w:vAlign w:val="center"/>
          </w:tcPr>
          <w:p>
            <w:pPr>
              <w:pStyle w:val="Normal"/>
              <w:jc w:val="center"/>
              <w:rPr>
                <w:rFonts w:eastAsia="Times New Roman"/>
                <w:color w:val="000000"/>
              </w:rPr>
            </w:pPr>
            <w:r>
              <w:rPr>
                <w:rFonts w:eastAsia="Times New Roman"/>
                <w:color w:val="000000"/>
              </w:rPr>
            </w:r>
          </w:p>
        </w:tc>
      </w:tr>
      <w:tr>
        <w:trPr/>
        <w:tc>
          <w:tcPr>
            <w:tcW w:w="344" w:type="dxa"/>
            <w:tcBorders/>
            <w:shd w:fill="auto" w:val="clear"/>
            <w:vAlign w:val="center"/>
          </w:tcPr>
          <w:p>
            <w:pPr>
              <w:pStyle w:val="Normal"/>
              <w:jc w:val="center"/>
              <w:rPr>
                <w:rFonts w:eastAsia="Times New Roman"/>
                <w:color w:val="000000"/>
              </w:rPr>
            </w:pPr>
            <w:r>
              <w:rPr>
                <w:rFonts w:eastAsia="Times New Roman"/>
                <w:color w:val="000000"/>
              </w:rPr>
            </w:r>
          </w:p>
        </w:tc>
        <w:tc>
          <w:tcPr>
            <w:tcW w:w="5187" w:type="dxa"/>
            <w:gridSpan w:val="3"/>
            <w:tcBorders>
              <w:top w:val="single" w:sz="6" w:space="0" w:color="CCCCCC"/>
            </w:tcBorders>
            <w:shd w:fill="auto" w:val="clear"/>
            <w:vAlign w:val="center"/>
          </w:tcPr>
          <w:p>
            <w:pPr>
              <w:pStyle w:val="Normal"/>
              <w:jc w:val="center"/>
              <w:rPr>
                <w:rFonts w:eastAsia="Times New Roman"/>
                <w:color w:val="000000"/>
              </w:rPr>
            </w:pPr>
            <w:r>
              <w:rPr>
                <w:rStyle w:val="Smalltext1"/>
                <w:rFonts w:eastAsia="Times New Roman"/>
                <w:color w:val="000000"/>
              </w:rPr>
              <w:t>(вихідний реєстраційний номер електронного документа)</w:t>
            </w:r>
          </w:p>
        </w:tc>
        <w:tc>
          <w:tcPr>
            <w:tcW w:w="4672" w:type="dxa"/>
            <w:gridSpan w:val="2"/>
            <w:tcBorders/>
            <w:shd w:fill="auto" w:val="clear"/>
            <w:vAlign w:val="center"/>
          </w:tcPr>
          <w:p>
            <w:pPr>
              <w:pStyle w:val="Normal"/>
              <w:jc w:val="center"/>
              <w:rPr>
                <w:rFonts w:eastAsia="Times New Roman"/>
                <w:color w:val="000000"/>
              </w:rPr>
            </w:pPr>
            <w:r>
              <w:rPr>
                <w:rFonts w:eastAsia="Times New Roman"/>
                <w:color w:val="000000"/>
              </w:rPr>
              <w:t> </w:t>
            </w:r>
          </w:p>
        </w:tc>
      </w:tr>
      <w:tr>
        <w:trPr/>
        <w:tc>
          <w:tcPr>
            <w:tcW w:w="10203" w:type="dxa"/>
            <w:gridSpan w:val="6"/>
            <w:tcBorders/>
            <w:shd w:fill="auto" w:val="clear"/>
            <w:vAlign w:val="center"/>
          </w:tcPr>
          <w:p>
            <w:pPr>
              <w:pStyle w:val="Normal"/>
              <w:jc w:val="both"/>
              <w:rPr>
                <w:rFonts w:eastAsia="Times New Roman"/>
                <w:color w:val="000000"/>
              </w:rPr>
            </w:pPr>
            <w:r>
              <w:rPr>
                <w:rFonts w:eastAsia="Times New Roman"/>
                <w:color w:val="000000"/>
              </w:rPr>
              <w:t xml:space="preserve">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w:t>
            </w:r>
          </w:p>
        </w:tc>
      </w:tr>
      <w:tr>
        <w:trPr/>
        <w:tc>
          <w:tcPr>
            <w:tcW w:w="344" w:type="dxa"/>
            <w:tcBorders/>
            <w:shd w:fill="auto" w:val="clear"/>
            <w:vAlign w:val="center"/>
          </w:tcPr>
          <w:p>
            <w:pPr>
              <w:pStyle w:val="Normal"/>
              <w:jc w:val="center"/>
              <w:rPr>
                <w:rFonts w:eastAsia="Times New Roman"/>
                <w:color w:val="000000"/>
              </w:rPr>
            </w:pPr>
            <w:r>
              <w:rPr>
                <w:rFonts w:eastAsia="Times New Roman"/>
                <w:color w:val="000000"/>
              </w:rPr>
            </w:r>
          </w:p>
        </w:tc>
        <w:tc>
          <w:tcPr>
            <w:tcW w:w="4197" w:type="dxa"/>
            <w:tcBorders/>
            <w:shd w:fill="auto" w:val="clear"/>
            <w:vAlign w:val="center"/>
          </w:tcPr>
          <w:p>
            <w:pPr>
              <w:pStyle w:val="Normal"/>
              <w:jc w:val="center"/>
              <w:rPr>
                <w:rFonts w:eastAsia="Times New Roman"/>
                <w:color w:val="000000"/>
              </w:rPr>
            </w:pPr>
            <w:r>
              <w:rPr>
                <w:rFonts w:eastAsia="Times New Roman"/>
                <w:color w:val="000000"/>
              </w:rPr>
              <w:t>Директор</w:t>
            </w:r>
          </w:p>
        </w:tc>
        <w:tc>
          <w:tcPr>
            <w:tcW w:w="179" w:type="dxa"/>
            <w:tcBorders/>
            <w:shd w:fill="auto" w:val="clear"/>
            <w:vAlign w:val="center"/>
          </w:tcPr>
          <w:p>
            <w:pPr>
              <w:pStyle w:val="Normal"/>
              <w:jc w:val="center"/>
              <w:rPr>
                <w:rFonts w:eastAsia="Times New Roman"/>
                <w:color w:val="000000"/>
              </w:rPr>
            </w:pPr>
            <w:r>
              <w:rPr>
                <w:rFonts w:eastAsia="Times New Roman"/>
                <w:color w:val="000000"/>
              </w:rPr>
              <w:t> </w:t>
            </w:r>
          </w:p>
        </w:tc>
        <w:tc>
          <w:tcPr>
            <w:tcW w:w="811" w:type="dxa"/>
            <w:tcBorders/>
            <w:shd w:fill="auto" w:val="clear"/>
            <w:vAlign w:val="center"/>
          </w:tcPr>
          <w:p>
            <w:pPr>
              <w:pStyle w:val="Normal"/>
              <w:jc w:val="center"/>
              <w:rPr>
                <w:rFonts w:eastAsia="Times New Roman"/>
                <w:color w:val="000000"/>
              </w:rPr>
            </w:pPr>
            <w:r>
              <w:rPr>
                <w:rFonts w:eastAsia="Times New Roman"/>
                <w:color w:val="000000"/>
              </w:rPr>
              <w:t> </w:t>
            </w:r>
          </w:p>
        </w:tc>
        <w:tc>
          <w:tcPr>
            <w:tcW w:w="179" w:type="dxa"/>
            <w:tcBorders/>
            <w:shd w:fill="auto" w:val="clear"/>
            <w:vAlign w:val="center"/>
          </w:tcPr>
          <w:p>
            <w:pPr>
              <w:pStyle w:val="Normal"/>
              <w:jc w:val="center"/>
              <w:rPr>
                <w:rFonts w:eastAsia="Times New Roman"/>
                <w:color w:val="000000"/>
              </w:rPr>
            </w:pPr>
            <w:r>
              <w:rPr>
                <w:rFonts w:eastAsia="Times New Roman"/>
                <w:color w:val="000000"/>
              </w:rPr>
              <w:t> </w:t>
            </w:r>
          </w:p>
        </w:tc>
        <w:tc>
          <w:tcPr>
            <w:tcW w:w="4493" w:type="dxa"/>
            <w:tcBorders/>
            <w:shd w:fill="auto" w:val="clear"/>
            <w:vAlign w:val="center"/>
          </w:tcPr>
          <w:p>
            <w:pPr>
              <w:pStyle w:val="Normal"/>
              <w:jc w:val="center"/>
              <w:rPr>
                <w:rFonts w:eastAsia="Times New Roman"/>
                <w:color w:val="000000"/>
              </w:rPr>
            </w:pPr>
            <w:r>
              <w:rPr>
                <w:rFonts w:eastAsia="Times New Roman"/>
                <w:color w:val="000000"/>
              </w:rPr>
              <w:t xml:space="preserve">Данильченко Сергiй Анатолiйович </w:t>
            </w:r>
          </w:p>
        </w:tc>
      </w:tr>
      <w:tr>
        <w:trPr/>
        <w:tc>
          <w:tcPr>
            <w:tcW w:w="344" w:type="dxa"/>
            <w:tcBorders/>
            <w:shd w:fill="auto" w:val="clear"/>
            <w:vAlign w:val="center"/>
          </w:tcPr>
          <w:p>
            <w:pPr>
              <w:pStyle w:val="Normal"/>
              <w:jc w:val="center"/>
              <w:rPr>
                <w:rFonts w:eastAsia="Times New Roman"/>
                <w:color w:val="000000"/>
              </w:rPr>
            </w:pPr>
            <w:r>
              <w:rPr>
                <w:rFonts w:eastAsia="Times New Roman"/>
                <w:color w:val="000000"/>
              </w:rPr>
            </w:r>
          </w:p>
        </w:tc>
        <w:tc>
          <w:tcPr>
            <w:tcW w:w="4197" w:type="dxa"/>
            <w:tcBorders>
              <w:top w:val="single" w:sz="6" w:space="0" w:color="CCCCCC"/>
            </w:tcBorders>
            <w:shd w:fill="auto" w:val="clear"/>
            <w:vAlign w:val="center"/>
          </w:tcPr>
          <w:p>
            <w:pPr>
              <w:pStyle w:val="Normal"/>
              <w:jc w:val="center"/>
              <w:rPr>
                <w:rFonts w:eastAsia="Times New Roman"/>
                <w:color w:val="000000"/>
              </w:rPr>
            </w:pPr>
            <w:r>
              <w:rPr>
                <w:rStyle w:val="Smalltext1"/>
                <w:rFonts w:eastAsia="Times New Roman"/>
                <w:color w:val="000000"/>
              </w:rPr>
              <w:t>(посада)</w:t>
            </w:r>
          </w:p>
        </w:tc>
        <w:tc>
          <w:tcPr>
            <w:tcW w:w="179" w:type="dxa"/>
            <w:tcBorders/>
            <w:shd w:fill="auto" w:val="clear"/>
            <w:vAlign w:val="center"/>
          </w:tcPr>
          <w:p>
            <w:pPr>
              <w:pStyle w:val="Normal"/>
              <w:jc w:val="center"/>
              <w:rPr>
                <w:rFonts w:eastAsia="Times New Roman"/>
                <w:color w:val="000000"/>
              </w:rPr>
            </w:pPr>
            <w:r>
              <w:rPr>
                <w:rFonts w:eastAsia="Times New Roman"/>
                <w:color w:val="000000"/>
              </w:rPr>
              <w:t> </w:t>
            </w:r>
          </w:p>
        </w:tc>
        <w:tc>
          <w:tcPr>
            <w:tcW w:w="811" w:type="dxa"/>
            <w:tcBorders>
              <w:top w:val="single" w:sz="6" w:space="0" w:color="CCCCCC"/>
            </w:tcBorders>
            <w:shd w:fill="auto" w:val="clear"/>
            <w:vAlign w:val="center"/>
          </w:tcPr>
          <w:p>
            <w:pPr>
              <w:pStyle w:val="Normal"/>
              <w:jc w:val="center"/>
              <w:rPr>
                <w:rFonts w:eastAsia="Times New Roman"/>
                <w:color w:val="000000"/>
              </w:rPr>
            </w:pPr>
            <w:r>
              <w:rPr>
                <w:rStyle w:val="Smalltext1"/>
                <w:rFonts w:eastAsia="Times New Roman"/>
                <w:color w:val="000000"/>
              </w:rPr>
              <w:t>(підпис)</w:t>
            </w:r>
          </w:p>
        </w:tc>
        <w:tc>
          <w:tcPr>
            <w:tcW w:w="179" w:type="dxa"/>
            <w:tcBorders/>
            <w:shd w:fill="auto" w:val="clear"/>
            <w:vAlign w:val="center"/>
          </w:tcPr>
          <w:p>
            <w:pPr>
              <w:pStyle w:val="Normal"/>
              <w:jc w:val="center"/>
              <w:rPr>
                <w:rFonts w:eastAsia="Times New Roman"/>
                <w:color w:val="000000"/>
              </w:rPr>
            </w:pPr>
            <w:r>
              <w:rPr>
                <w:rFonts w:eastAsia="Times New Roman"/>
                <w:color w:val="000000"/>
              </w:rPr>
              <w:t> </w:t>
            </w:r>
          </w:p>
        </w:tc>
        <w:tc>
          <w:tcPr>
            <w:tcW w:w="4493" w:type="dxa"/>
            <w:tcBorders>
              <w:top w:val="single" w:sz="6" w:space="0" w:color="CCCCCC"/>
            </w:tcBorders>
            <w:shd w:fill="auto" w:val="clear"/>
            <w:vAlign w:val="center"/>
          </w:tcPr>
          <w:p>
            <w:pPr>
              <w:pStyle w:val="Normal"/>
              <w:jc w:val="center"/>
              <w:rPr>
                <w:rFonts w:eastAsia="Times New Roman"/>
                <w:color w:val="000000"/>
              </w:rPr>
            </w:pPr>
            <w:r>
              <w:rPr>
                <w:rStyle w:val="Smalltext1"/>
                <w:rFonts w:eastAsia="Times New Roman"/>
                <w:color w:val="000000"/>
              </w:rPr>
              <w:t>(прізвище та ініціали керівника)</w:t>
            </w:r>
          </w:p>
        </w:tc>
      </w:tr>
    </w:tbl>
    <w:p>
      <w:pPr>
        <w:pStyle w:val="Normal"/>
        <w:rPr>
          <w:rFonts w:eastAsia="Times New Roman"/>
          <w:color w:val="000000"/>
        </w:rPr>
      </w:pPr>
      <w:r>
        <w:rPr>
          <w:rFonts w:eastAsia="Times New Roman"/>
          <w:color w:val="000000"/>
        </w:rPr>
      </w:r>
    </w:p>
    <w:p>
      <w:pPr>
        <w:pStyle w:val="4"/>
        <w:rPr>
          <w:rFonts w:eastAsia="Times New Roman"/>
          <w:color w:val="000000"/>
        </w:rPr>
      </w:pPr>
      <w:r>
        <w:rPr>
          <w:rFonts w:eastAsia="Times New Roman"/>
          <w:color w:val="000000"/>
        </w:rPr>
        <w:t>Особлива інформація (інформація про іпотечні цінні папери, сертифікати фонду операцій з нерухомістю) емітента</w:t>
      </w:r>
    </w:p>
    <w:p>
      <w:pPr>
        <w:pStyle w:val="4"/>
        <w:rPr>
          <w:rFonts w:eastAsia="Times New Roman"/>
          <w:color w:val="000000"/>
        </w:rPr>
      </w:pPr>
      <w:r>
        <w:rPr>
          <w:rFonts w:eastAsia="Times New Roman"/>
          <w:color w:val="000000"/>
        </w:rPr>
        <w:t>I. Загальні відомості</w:t>
      </w:r>
    </w:p>
    <w:tbl>
      <w:tblPr>
        <w:tblW w:w="5000" w:type="pct"/>
        <w:jc w:val="left"/>
        <w:tblInd w:w="0" w:type="dxa"/>
        <w:tblBorders/>
        <w:tblCellMar>
          <w:top w:w="60" w:type="dxa"/>
          <w:left w:w="60" w:type="dxa"/>
          <w:bottom w:w="60" w:type="dxa"/>
          <w:right w:w="60" w:type="dxa"/>
        </w:tblCellMar>
        <w:tblLook w:firstRow="1" w:noVBand="1" w:lastRow="0" w:firstColumn="1" w:lastColumn="0" w:noHBand="0" w:val="04a0"/>
      </w:tblPr>
      <w:tblGrid>
        <w:gridCol w:w="10204"/>
      </w:tblGrid>
      <w:tr>
        <w:trPr/>
        <w:tc>
          <w:tcPr>
            <w:tcW w:w="10204" w:type="dxa"/>
            <w:tcBorders/>
            <w:shd w:fill="auto" w:val="clear"/>
            <w:vAlign w:val="center"/>
          </w:tcPr>
          <w:p>
            <w:pPr>
              <w:pStyle w:val="Normal"/>
              <w:rPr>
                <w:rFonts w:eastAsia="Times New Roman"/>
                <w:color w:val="000000"/>
              </w:rPr>
            </w:pPr>
            <w:r>
              <w:rPr>
                <w:rFonts w:eastAsia="Times New Roman"/>
                <w:color w:val="000000"/>
              </w:rPr>
              <w:t>1. Повне найменування емітента</w:t>
            </w:r>
          </w:p>
        </w:tc>
      </w:tr>
      <w:tr>
        <w:trPr/>
        <w:tc>
          <w:tcPr>
            <w:tcW w:w="10204" w:type="dxa"/>
            <w:tcBorders/>
            <w:shd w:fill="auto" w:val="clear"/>
            <w:vAlign w:val="center"/>
          </w:tcPr>
          <w:p>
            <w:pPr>
              <w:pStyle w:val="Normal"/>
              <w:jc w:val="center"/>
              <w:rPr>
                <w:rFonts w:eastAsia="Times New Roman"/>
                <w:color w:val="000000"/>
              </w:rPr>
            </w:pPr>
            <w:r>
              <w:rPr>
                <w:rFonts w:eastAsia="Times New Roman"/>
                <w:i/>
                <w:iCs/>
                <w:color w:val="000000"/>
              </w:rPr>
              <w:t>ПРИВАТНЕ АКЦIОНЕРНЕ ТОВАРИСТВО "ПОЛТАВСЬКИЙ ОЛIЙНОЕКСТРАКЦIЙНИЙ ЗАВОД - КЕРНЕЛ ГРУП"</w:t>
            </w:r>
          </w:p>
        </w:tc>
      </w:tr>
      <w:tr>
        <w:trPr/>
        <w:tc>
          <w:tcPr>
            <w:tcW w:w="10204" w:type="dxa"/>
            <w:tcBorders/>
            <w:shd w:fill="auto" w:val="clear"/>
            <w:vAlign w:val="center"/>
          </w:tcPr>
          <w:p>
            <w:pPr>
              <w:pStyle w:val="Normal"/>
              <w:rPr>
                <w:rFonts w:eastAsia="Times New Roman"/>
                <w:color w:val="000000"/>
              </w:rPr>
            </w:pPr>
            <w:r>
              <w:rPr>
                <w:rFonts w:eastAsia="Times New Roman"/>
                <w:color w:val="000000"/>
              </w:rPr>
              <w:t>2. Організаційно-правова форма</w:t>
            </w:r>
          </w:p>
        </w:tc>
      </w:tr>
      <w:tr>
        <w:trPr/>
        <w:tc>
          <w:tcPr>
            <w:tcW w:w="10204" w:type="dxa"/>
            <w:tcBorders/>
            <w:shd w:fill="auto" w:val="clear"/>
            <w:vAlign w:val="center"/>
          </w:tcPr>
          <w:p>
            <w:pPr>
              <w:pStyle w:val="Normal"/>
              <w:jc w:val="center"/>
              <w:rPr>
                <w:rFonts w:eastAsia="Times New Roman"/>
                <w:color w:val="000000"/>
              </w:rPr>
            </w:pPr>
            <w:r>
              <w:rPr>
                <w:rFonts w:eastAsia="Times New Roman"/>
                <w:color w:val="000000"/>
              </w:rPr>
              <w:t>Приватне акціонерне товариство</w:t>
            </w:r>
          </w:p>
        </w:tc>
      </w:tr>
      <w:tr>
        <w:trPr/>
        <w:tc>
          <w:tcPr>
            <w:tcW w:w="10204" w:type="dxa"/>
            <w:tcBorders/>
            <w:shd w:fill="auto" w:val="clear"/>
            <w:vAlign w:val="center"/>
          </w:tcPr>
          <w:p>
            <w:pPr>
              <w:pStyle w:val="Normal"/>
              <w:rPr>
                <w:rFonts w:eastAsia="Times New Roman"/>
                <w:color w:val="000000"/>
              </w:rPr>
            </w:pPr>
            <w:r>
              <w:rPr>
                <w:rFonts w:eastAsia="Times New Roman"/>
                <w:color w:val="000000"/>
              </w:rPr>
              <w:t>3. Місцезнаходження</w:t>
            </w:r>
          </w:p>
        </w:tc>
      </w:tr>
      <w:tr>
        <w:trPr/>
        <w:tc>
          <w:tcPr>
            <w:tcW w:w="10204" w:type="dxa"/>
            <w:tcBorders/>
            <w:shd w:fill="auto" w:val="clear"/>
            <w:vAlign w:val="center"/>
          </w:tcPr>
          <w:p>
            <w:pPr>
              <w:pStyle w:val="Normal"/>
              <w:jc w:val="center"/>
              <w:rPr>
                <w:rFonts w:eastAsia="Times New Roman"/>
                <w:color w:val="000000"/>
              </w:rPr>
            </w:pPr>
            <w:r>
              <w:rPr>
                <w:rFonts w:eastAsia="Times New Roman"/>
                <w:color w:val="000000"/>
              </w:rPr>
              <w:t>36007, Полтавська обл., м. Полтава, вул. Маршала Бiрюзова, 17</w:t>
            </w:r>
          </w:p>
        </w:tc>
      </w:tr>
      <w:tr>
        <w:trPr/>
        <w:tc>
          <w:tcPr>
            <w:tcW w:w="10204" w:type="dxa"/>
            <w:tcBorders/>
            <w:shd w:fill="auto" w:val="clear"/>
            <w:vAlign w:val="center"/>
          </w:tcPr>
          <w:p>
            <w:pPr>
              <w:pStyle w:val="Normal"/>
              <w:rPr>
                <w:rFonts w:eastAsia="Times New Roman"/>
                <w:color w:val="000000"/>
              </w:rPr>
            </w:pPr>
            <w:r>
              <w:rPr>
                <w:rFonts w:eastAsia="Times New Roman"/>
                <w:color w:val="000000"/>
              </w:rPr>
              <w:t>4. Ідентифікаційний код юридичної особи</w:t>
            </w:r>
          </w:p>
        </w:tc>
      </w:tr>
      <w:tr>
        <w:trPr/>
        <w:tc>
          <w:tcPr>
            <w:tcW w:w="10204" w:type="dxa"/>
            <w:tcBorders/>
            <w:shd w:fill="auto" w:val="clear"/>
            <w:vAlign w:val="center"/>
          </w:tcPr>
          <w:p>
            <w:pPr>
              <w:pStyle w:val="Normal"/>
              <w:jc w:val="center"/>
              <w:rPr>
                <w:rFonts w:eastAsia="Times New Roman"/>
                <w:color w:val="000000"/>
              </w:rPr>
            </w:pPr>
            <w:r>
              <w:rPr>
                <w:rFonts w:eastAsia="Times New Roman"/>
                <w:color w:val="000000"/>
              </w:rPr>
              <w:t>00373907</w:t>
            </w:r>
          </w:p>
        </w:tc>
      </w:tr>
      <w:tr>
        <w:trPr/>
        <w:tc>
          <w:tcPr>
            <w:tcW w:w="10204" w:type="dxa"/>
            <w:tcBorders/>
            <w:shd w:fill="auto" w:val="clear"/>
            <w:vAlign w:val="center"/>
          </w:tcPr>
          <w:p>
            <w:pPr>
              <w:pStyle w:val="Normal"/>
              <w:rPr>
                <w:rFonts w:eastAsia="Times New Roman"/>
                <w:color w:val="000000"/>
              </w:rPr>
            </w:pPr>
            <w:r>
              <w:rPr>
                <w:rFonts w:eastAsia="Times New Roman"/>
                <w:color w:val="000000"/>
              </w:rPr>
              <w:t>5. Міжміський код та телефон, факс</w:t>
            </w:r>
          </w:p>
        </w:tc>
      </w:tr>
      <w:tr>
        <w:trPr/>
        <w:tc>
          <w:tcPr>
            <w:tcW w:w="10204" w:type="dxa"/>
            <w:tcBorders/>
            <w:shd w:fill="auto" w:val="clear"/>
            <w:vAlign w:val="center"/>
          </w:tcPr>
          <w:p>
            <w:pPr>
              <w:pStyle w:val="Normal"/>
              <w:jc w:val="center"/>
              <w:rPr>
                <w:rFonts w:eastAsia="Times New Roman"/>
                <w:color w:val="000000"/>
              </w:rPr>
            </w:pPr>
            <w:r>
              <w:rPr>
                <w:rFonts w:eastAsia="Times New Roman"/>
                <w:color w:val="000000"/>
              </w:rPr>
              <w:t>(0532) 51-95-55 51-95-69</w:t>
            </w:r>
          </w:p>
        </w:tc>
      </w:tr>
      <w:tr>
        <w:trPr/>
        <w:tc>
          <w:tcPr>
            <w:tcW w:w="10204" w:type="dxa"/>
            <w:tcBorders/>
            <w:shd w:fill="auto" w:val="clear"/>
            <w:vAlign w:val="center"/>
          </w:tcPr>
          <w:p>
            <w:pPr>
              <w:pStyle w:val="Normal"/>
              <w:rPr>
                <w:rFonts w:eastAsia="Times New Roman"/>
                <w:color w:val="000000"/>
              </w:rPr>
            </w:pPr>
            <w:r>
              <w:rPr>
                <w:rFonts w:eastAsia="Times New Roman"/>
                <w:color w:val="000000"/>
              </w:rPr>
              <w:t>6. Адреса електронної пошти</w:t>
            </w:r>
          </w:p>
        </w:tc>
      </w:tr>
      <w:tr>
        <w:trPr/>
        <w:tc>
          <w:tcPr>
            <w:tcW w:w="10204" w:type="dxa"/>
            <w:tcBorders/>
            <w:shd w:fill="auto" w:val="clear"/>
            <w:vAlign w:val="center"/>
          </w:tcPr>
          <w:p>
            <w:pPr>
              <w:pStyle w:val="Normal"/>
              <w:jc w:val="center"/>
              <w:rPr>
                <w:rFonts w:eastAsia="Times New Roman"/>
                <w:color w:val="000000"/>
              </w:rPr>
            </w:pPr>
            <w:r>
              <w:rPr>
                <w:rFonts w:eastAsia="Times New Roman"/>
                <w:color w:val="000000"/>
              </w:rPr>
              <w:t>pmez@kernel.ua</w:t>
            </w:r>
          </w:p>
        </w:tc>
      </w:tr>
      <w:tr>
        <w:trPr/>
        <w:tc>
          <w:tcPr>
            <w:tcW w:w="10204" w:type="dxa"/>
            <w:tcBorders/>
            <w:shd w:fill="auto" w:val="clear"/>
            <w:vAlign w:val="center"/>
          </w:tcPr>
          <w:p>
            <w:pPr>
              <w:pStyle w:val="Normal"/>
              <w:jc w:val="center"/>
              <w:rPr>
                <w:rFonts w:eastAsia="Times New Roman"/>
                <w:color w:val="000000"/>
              </w:rPr>
            </w:pPr>
            <w:r>
              <w:rPr>
                <w:rFonts w:eastAsia="Times New Roman"/>
                <w:color w:val="000000"/>
              </w:rPr>
            </w:r>
          </w:p>
        </w:tc>
      </w:tr>
      <w:tr>
        <w:trPr/>
        <w:tc>
          <w:tcPr>
            <w:tcW w:w="10204" w:type="dxa"/>
            <w:tcBorders/>
            <w:shd w:fill="auto" w:val="clear"/>
            <w:vAlign w:val="center"/>
          </w:tcPr>
          <w:p>
            <w:pPr>
              <w:pStyle w:val="Normal"/>
              <w:rPr>
                <w:rFonts w:eastAsia="Times New Roman"/>
                <w:color w:val="000000"/>
              </w:rPr>
            </w:pPr>
            <w:r>
              <w:rPr>
                <w:rFonts w:eastAsia="Times New Roman"/>
                <w:color w:val="000000"/>
              </w:rPr>
              <w:t>7.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оприлюднення регульованої інформації від імені учасника фондового ринку.</w:t>
            </w:r>
          </w:p>
        </w:tc>
      </w:tr>
      <w:tr>
        <w:trPr/>
        <w:tc>
          <w:tcPr>
            <w:tcW w:w="10204" w:type="dxa"/>
            <w:tcBorders/>
            <w:shd w:fill="auto" w:val="clear"/>
            <w:vAlign w:val="center"/>
          </w:tcPr>
          <w:p>
            <w:pPr>
              <w:pStyle w:val="Normal"/>
              <w:jc w:val="center"/>
              <w:rPr>
                <w:rFonts w:eastAsia="Times New Roman"/>
                <w:color w:val="000000"/>
              </w:rPr>
            </w:pPr>
            <w:r>
              <w:rPr>
                <w:rFonts w:eastAsia="Times New Roman"/>
                <w:color w:val="000000"/>
              </w:rPr>
              <w:t>Державна установа "Агентство з розвитку iнфраструктури фондового ринку України"</w:t>
              <w:br/>
              <w:t>21676262</w:t>
              <w:br/>
              <w:t xml:space="preserve">УКРАЇНА </w:t>
              <w:br/>
              <w:t>DR/00001/APA</w:t>
            </w:r>
          </w:p>
        </w:tc>
      </w:tr>
      <w:tr>
        <w:trPr/>
        <w:tc>
          <w:tcPr>
            <w:tcW w:w="10204" w:type="dxa"/>
            <w:tcBorders/>
            <w:shd w:fill="auto" w:val="clear"/>
            <w:tcMar>
              <w:top w:w="15" w:type="dxa"/>
              <w:left w:w="15" w:type="dxa"/>
              <w:bottom w:w="15" w:type="dxa"/>
              <w:right w:w="15" w:type="dxa"/>
            </w:tcMar>
            <w:vAlign w:val="center"/>
          </w:tcPr>
          <w:p>
            <w:pPr>
              <w:pStyle w:val="Normal"/>
              <w:jc w:val="center"/>
              <w:rPr>
                <w:rFonts w:eastAsia="Times New Roman"/>
                <w:color w:val="000000"/>
              </w:rPr>
            </w:pPr>
            <w:r>
              <w:rPr>
                <w:rFonts w:eastAsia="Times New Roman"/>
                <w:color w:val="000000"/>
              </w:rPr>
            </w:r>
          </w:p>
        </w:tc>
      </w:tr>
    </w:tbl>
    <w:p>
      <w:pPr>
        <w:pStyle w:val="Normal"/>
        <w:rPr>
          <w:rFonts w:eastAsia="Times New Roman"/>
          <w:color w:val="000000"/>
        </w:rPr>
      </w:pPr>
      <w:r>
        <w:rPr>
          <w:rFonts w:eastAsia="Times New Roman"/>
          <w:color w:val="000000"/>
        </w:rPr>
      </w:r>
    </w:p>
    <w:p>
      <w:pPr>
        <w:pStyle w:val="4"/>
        <w:rPr>
          <w:rFonts w:eastAsia="Times New Roman"/>
          <w:color w:val="000000"/>
        </w:rPr>
      </w:pPr>
      <w:r>
        <w:rPr>
          <w:rFonts w:eastAsia="Times New Roman"/>
          <w:color w:val="000000"/>
        </w:rPr>
        <w:t>II. Дані про дату та місце оприлюднення Повідомлення (Повідомлення про інформацію)</w:t>
      </w:r>
    </w:p>
    <w:tbl>
      <w:tblPr>
        <w:tblW w:w="5000" w:type="pct"/>
        <w:jc w:val="left"/>
        <w:tblInd w:w="45" w:type="dxa"/>
        <w:tblBorders/>
        <w:tblCellMar>
          <w:top w:w="60" w:type="dxa"/>
          <w:left w:w="60" w:type="dxa"/>
          <w:bottom w:w="60" w:type="dxa"/>
          <w:right w:w="60" w:type="dxa"/>
        </w:tblCellMar>
        <w:tblLook w:firstRow="1" w:noVBand="1" w:lastRow="0" w:firstColumn="1" w:lastColumn="0" w:noHBand="0" w:val="04a0"/>
      </w:tblPr>
      <w:tblGrid>
        <w:gridCol w:w="5618"/>
        <w:gridCol w:w="3221"/>
        <w:gridCol w:w="179"/>
        <w:gridCol w:w="1185"/>
      </w:tblGrid>
      <w:tr>
        <w:trPr/>
        <w:tc>
          <w:tcPr>
            <w:tcW w:w="5618" w:type="dxa"/>
            <w:tcBorders/>
            <w:shd w:fill="auto" w:val="clear"/>
            <w:vAlign w:val="center"/>
          </w:tcPr>
          <w:p>
            <w:pPr>
              <w:pStyle w:val="Normal"/>
              <w:rPr>
                <w:rFonts w:eastAsia="Times New Roman"/>
                <w:color w:val="000000"/>
              </w:rPr>
            </w:pPr>
            <w:r>
              <w:rPr>
                <w:rFonts w:eastAsia="Times New Roman"/>
                <w:color w:val="000000"/>
              </w:rPr>
              <w:t>Повідомлення розміщено на власному веб-сайті учасника фондового ринку</w:t>
            </w:r>
          </w:p>
        </w:tc>
        <w:tc>
          <w:tcPr>
            <w:tcW w:w="3221" w:type="dxa"/>
            <w:tcBorders/>
            <w:shd w:fill="auto" w:val="clear"/>
            <w:vAlign w:val="center"/>
          </w:tcPr>
          <w:p>
            <w:pPr>
              <w:pStyle w:val="Normal"/>
              <w:jc w:val="center"/>
              <w:rPr>
                <w:rFonts w:eastAsia="Times New Roman"/>
                <w:color w:val="000000"/>
              </w:rPr>
            </w:pPr>
            <w:r>
              <w:rPr>
                <w:rFonts w:eastAsia="Times New Roman"/>
                <w:color w:val="000000"/>
              </w:rPr>
              <w:t>http://00373907.infosite.com.ua/</w:t>
            </w:r>
          </w:p>
        </w:tc>
        <w:tc>
          <w:tcPr>
            <w:tcW w:w="179" w:type="dxa"/>
            <w:tcBorders/>
            <w:shd w:fill="auto" w:val="clear"/>
            <w:vAlign w:val="center"/>
          </w:tcPr>
          <w:p>
            <w:pPr>
              <w:pStyle w:val="Normal"/>
              <w:jc w:val="center"/>
              <w:rPr>
                <w:rFonts w:eastAsia="Times New Roman"/>
                <w:color w:val="000000"/>
              </w:rPr>
            </w:pPr>
            <w:r>
              <w:rPr>
                <w:rFonts w:eastAsia="Times New Roman"/>
                <w:color w:val="000000"/>
              </w:rPr>
              <w:t> </w:t>
            </w:r>
          </w:p>
        </w:tc>
        <w:tc>
          <w:tcPr>
            <w:tcW w:w="1185" w:type="dxa"/>
            <w:tcBorders/>
            <w:shd w:fill="auto" w:val="clear"/>
            <w:vAlign w:val="center"/>
          </w:tcPr>
          <w:p>
            <w:pPr>
              <w:pStyle w:val="Normal"/>
              <w:jc w:val="center"/>
              <w:rPr>
                <w:rFonts w:eastAsia="Times New Roman"/>
                <w:color w:val="000000"/>
              </w:rPr>
            </w:pPr>
            <w:r>
              <w:rPr>
                <w:rFonts w:eastAsia="Times New Roman"/>
                <w:color w:val="000000"/>
              </w:rPr>
              <w:t>10.04.2019</w:t>
            </w:r>
          </w:p>
        </w:tc>
      </w:tr>
      <w:tr>
        <w:trPr/>
        <w:tc>
          <w:tcPr>
            <w:tcW w:w="5618" w:type="dxa"/>
            <w:tcBorders/>
            <w:shd w:fill="auto" w:val="clear"/>
            <w:vAlign w:val="center"/>
          </w:tcPr>
          <w:p>
            <w:pPr>
              <w:pStyle w:val="Normal"/>
              <w:jc w:val="center"/>
              <w:rPr>
                <w:rFonts w:eastAsia="Times New Roman"/>
                <w:color w:val="000000"/>
              </w:rPr>
            </w:pPr>
            <w:r>
              <w:rPr>
                <w:rFonts w:eastAsia="Times New Roman"/>
                <w:color w:val="000000"/>
              </w:rPr>
            </w:r>
          </w:p>
        </w:tc>
        <w:tc>
          <w:tcPr>
            <w:tcW w:w="3221" w:type="dxa"/>
            <w:tcBorders>
              <w:top w:val="single" w:sz="6" w:space="0" w:color="CCCCCC"/>
            </w:tcBorders>
            <w:shd w:fill="auto" w:val="clear"/>
            <w:vAlign w:val="center"/>
          </w:tcPr>
          <w:p>
            <w:pPr>
              <w:pStyle w:val="Normal"/>
              <w:jc w:val="center"/>
              <w:rPr>
                <w:rFonts w:eastAsia="Times New Roman"/>
                <w:color w:val="000000"/>
              </w:rPr>
            </w:pPr>
            <w:r>
              <w:rPr>
                <w:rStyle w:val="Smalltext1"/>
                <w:rFonts w:eastAsia="Times New Roman"/>
                <w:color w:val="000000"/>
              </w:rPr>
              <w:t>(адреса сторінки)</w:t>
            </w:r>
          </w:p>
        </w:tc>
        <w:tc>
          <w:tcPr>
            <w:tcW w:w="179" w:type="dxa"/>
            <w:tcBorders/>
            <w:shd w:fill="auto" w:val="clear"/>
            <w:vAlign w:val="center"/>
          </w:tcPr>
          <w:p>
            <w:pPr>
              <w:pStyle w:val="Normal"/>
              <w:jc w:val="center"/>
              <w:rPr>
                <w:rFonts w:eastAsia="Times New Roman"/>
                <w:color w:val="000000"/>
              </w:rPr>
            </w:pPr>
            <w:r>
              <w:rPr>
                <w:rFonts w:eastAsia="Times New Roman"/>
                <w:color w:val="000000"/>
              </w:rPr>
            </w:r>
          </w:p>
        </w:tc>
        <w:tc>
          <w:tcPr>
            <w:tcW w:w="1185" w:type="dxa"/>
            <w:tcBorders>
              <w:top w:val="single" w:sz="6" w:space="0" w:color="CCCCCC"/>
            </w:tcBorders>
            <w:shd w:fill="auto" w:val="clear"/>
            <w:vAlign w:val="center"/>
          </w:tcPr>
          <w:p>
            <w:pPr>
              <w:pStyle w:val="Normal"/>
              <w:jc w:val="center"/>
              <w:rPr>
                <w:rFonts w:eastAsia="Times New Roman"/>
                <w:color w:val="000000"/>
              </w:rPr>
            </w:pPr>
            <w:r>
              <w:rPr>
                <w:rStyle w:val="Smalltext1"/>
                <w:rFonts w:eastAsia="Times New Roman"/>
                <w:color w:val="000000"/>
              </w:rPr>
              <w:t>(дата)</w:t>
            </w:r>
          </w:p>
        </w:tc>
      </w:tr>
    </w:tbl>
    <w:p>
      <w:pPr>
        <w:sectPr>
          <w:type w:val="nextPage"/>
          <w:pgSz w:w="11906" w:h="16838"/>
          <w:pgMar w:left="851" w:right="851" w:header="0" w:top="1134" w:footer="0" w:bottom="851" w:gutter="0"/>
          <w:pgNumType w:fmt="decimal"/>
          <w:formProt w:val="false"/>
          <w:textDirection w:val="lrTb"/>
          <w:docGrid w:type="default" w:linePitch="360" w:charSpace="0"/>
        </w:sectPr>
      </w:pPr>
    </w:p>
    <w:p>
      <w:pPr>
        <w:pStyle w:val="3"/>
        <w:rPr>
          <w:rFonts w:eastAsia="Times New Roman"/>
          <w:color w:val="000000"/>
        </w:rPr>
      </w:pPr>
      <w:r>
        <w:rPr/>
        <w:t>Відомості про прийняття рішення про попереднє надання згоди на вчинення значних правочинів</w:t>
      </w:r>
    </w:p>
    <w:tbl>
      <w:tblPr>
        <w:tblW w:w="5000" w:type="pct"/>
        <w:jc w:val="left"/>
        <w:tblInd w:w="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60" w:type="dxa"/>
          <w:left w:w="60" w:type="dxa"/>
          <w:bottom w:w="60" w:type="dxa"/>
          <w:right w:w="60" w:type="dxa"/>
        </w:tblCellMar>
        <w:tblLook w:firstRow="1" w:noVBand="1" w:lastRow="0" w:firstColumn="1" w:lastColumn="0" w:noHBand="0" w:val="04a0"/>
      </w:tblPr>
      <w:tblGrid>
        <w:gridCol w:w="741"/>
        <w:gridCol w:w="2970"/>
        <w:gridCol w:w="2971"/>
        <w:gridCol w:w="3713"/>
        <w:gridCol w:w="4458"/>
      </w:tblGrid>
      <w:tr>
        <w:trPr>
          <w:tblHeader w:val="true"/>
        </w:trPr>
        <w:tc>
          <w:tcPr>
            <w:tcW w:w="74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rPr>
                <w:rFonts w:eastAsia="Times New Roman"/>
                <w:b/>
                <w:b/>
                <w:bCs/>
                <w:color w:val="000000"/>
              </w:rPr>
            </w:pPr>
            <w:r>
              <w:rPr/>
              <w:t xml:space="preserve">№ </w:t>
            </w:r>
            <w:r>
              <w:rPr/>
              <w:t>з/п</w:t>
            </w:r>
          </w:p>
        </w:tc>
        <w:tc>
          <w:tcPr>
            <w:tcW w:w="2970"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rPr>
                <w:rFonts w:eastAsia="Times New Roman"/>
                <w:b/>
                <w:b/>
                <w:bCs/>
                <w:color w:val="000000"/>
              </w:rPr>
            </w:pPr>
            <w:r>
              <w:rPr/>
              <w:t>Дата прийняття рішення</w:t>
            </w:r>
          </w:p>
        </w:tc>
        <w:tc>
          <w:tcPr>
            <w:tcW w:w="297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rPr>
                <w:rFonts w:eastAsia="Times New Roman"/>
                <w:b/>
                <w:b/>
                <w:bCs/>
                <w:color w:val="000000"/>
              </w:rPr>
            </w:pPr>
            <w:r>
              <w:rPr/>
              <w:t>Гранична сукупна вартість правочинів (тис. грн)</w:t>
            </w:r>
          </w:p>
        </w:tc>
        <w:tc>
          <w:tcPr>
            <w:tcW w:w="3713"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rPr>
                <w:rFonts w:eastAsia="Times New Roman"/>
                <w:b/>
                <w:b/>
                <w:bCs/>
                <w:color w:val="000000"/>
              </w:rPr>
            </w:pPr>
            <w:r>
              <w:rPr/>
              <w:t>Вартість активів емітента за даними останньої річної фінансової звітності (тис. грн)</w:t>
            </w:r>
          </w:p>
        </w:tc>
        <w:tc>
          <w:tcPr>
            <w:tcW w:w="4458"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rPr>
                <w:rFonts w:eastAsia="Times New Roman"/>
                <w:b/>
                <w:b/>
                <w:bCs/>
                <w:color w:val="000000"/>
              </w:rPr>
            </w:pPr>
            <w:r>
              <w:rPr/>
              <w:t>Співвідношення граничної сукупності вартості правочинів до вартості активів емітента за даними останньої річної фінансової звітності (у відсотках)</w:t>
            </w:r>
          </w:p>
        </w:tc>
      </w:tr>
      <w:tr>
        <w:trPr>
          <w:tblHeader w:val="true"/>
        </w:trPr>
        <w:tc>
          <w:tcPr>
            <w:tcW w:w="74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rPr>
                <w:rFonts w:eastAsia="Times New Roman"/>
                <w:b/>
                <w:b/>
                <w:bCs/>
                <w:color w:val="000000"/>
              </w:rPr>
            </w:pPr>
            <w:r>
              <w:rPr/>
              <w:t>1</w:t>
            </w:r>
          </w:p>
        </w:tc>
        <w:tc>
          <w:tcPr>
            <w:tcW w:w="2970"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rPr>
                <w:rFonts w:eastAsia="Times New Roman"/>
                <w:b/>
                <w:b/>
                <w:bCs/>
                <w:color w:val="000000"/>
              </w:rPr>
            </w:pPr>
            <w:r>
              <w:rPr/>
              <w:t>2</w:t>
            </w:r>
          </w:p>
        </w:tc>
        <w:tc>
          <w:tcPr>
            <w:tcW w:w="297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rPr>
                <w:rFonts w:eastAsia="Times New Roman"/>
                <w:b/>
                <w:b/>
                <w:bCs/>
                <w:color w:val="000000"/>
              </w:rPr>
            </w:pPr>
            <w:r>
              <w:rPr/>
              <w:t>3</w:t>
            </w:r>
          </w:p>
        </w:tc>
        <w:tc>
          <w:tcPr>
            <w:tcW w:w="3713"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rPr>
                <w:rFonts w:eastAsia="Times New Roman"/>
                <w:b/>
                <w:b/>
                <w:bCs/>
                <w:color w:val="000000"/>
              </w:rPr>
            </w:pPr>
            <w:r>
              <w:rPr/>
              <w:t>4</w:t>
            </w:r>
          </w:p>
        </w:tc>
        <w:tc>
          <w:tcPr>
            <w:tcW w:w="4458"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rPr>
                <w:rFonts w:eastAsia="Times New Roman"/>
                <w:b/>
                <w:b/>
                <w:bCs/>
                <w:color w:val="000000"/>
              </w:rPr>
            </w:pPr>
            <w:r>
              <w:rPr/>
              <w:t>5</w:t>
            </w:r>
          </w:p>
        </w:tc>
      </w:tr>
      <w:tr>
        <w:trPr/>
        <w:tc>
          <w:tcPr>
            <w:tcW w:w="74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rPr>
                <w:rFonts w:eastAsia="Times New Roman"/>
                <w:color w:val="000000"/>
              </w:rPr>
            </w:pPr>
            <w:r>
              <w:rPr/>
              <w:t>1</w:t>
            </w:r>
          </w:p>
        </w:tc>
        <w:tc>
          <w:tcPr>
            <w:tcW w:w="2970"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rPr>
                <w:rFonts w:eastAsia="Times New Roman"/>
                <w:color w:val="000000"/>
              </w:rPr>
            </w:pPr>
            <w:r>
              <w:rPr/>
              <w:t>09.04.2019</w:t>
            </w:r>
          </w:p>
        </w:tc>
        <w:tc>
          <w:tcPr>
            <w:tcW w:w="297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rPr>
                <w:rFonts w:eastAsia="Times New Roman"/>
                <w:color w:val="000000"/>
              </w:rPr>
            </w:pPr>
            <w:r>
              <w:rPr/>
              <w:t>133220690</w:t>
            </w:r>
          </w:p>
        </w:tc>
        <w:tc>
          <w:tcPr>
            <w:tcW w:w="3713"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rPr>
                <w:rFonts w:eastAsia="Times New Roman"/>
                <w:color w:val="FF0000"/>
              </w:rPr>
            </w:pPr>
            <w:r>
              <w:rPr/>
              <w:t>831255</w:t>
            </w:r>
          </w:p>
        </w:tc>
        <w:tc>
          <w:tcPr>
            <w:tcW w:w="4458"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rPr>
                <w:rFonts w:eastAsia="Times New Roman"/>
                <w:color w:val="FF0000"/>
              </w:rPr>
            </w:pPr>
            <w:r>
              <w:rPr/>
              <w:t xml:space="preserve">16026,5%. </w:t>
            </w:r>
          </w:p>
        </w:tc>
      </w:tr>
      <w:tr>
        <w:trPr/>
        <w:tc>
          <w:tcPr>
            <w:tcW w:w="14853" w:type="dxa"/>
            <w:gridSpan w:val="5"/>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rPr>
                <w:rFonts w:eastAsia="Times New Roman"/>
                <w:b/>
                <w:b/>
                <w:bCs/>
                <w:color w:val="000000"/>
              </w:rPr>
            </w:pPr>
            <w:r>
              <w:rPr/>
              <w:t>Зміст інформації:</w:t>
            </w:r>
          </w:p>
        </w:tc>
      </w:tr>
      <w:tr>
        <w:trPr/>
        <w:tc>
          <w:tcPr>
            <w:tcW w:w="14853" w:type="dxa"/>
            <w:gridSpan w:val="5"/>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rPr>
                <w:rFonts w:eastAsia="Times New Roman"/>
                <w:color w:val="000000"/>
              </w:rPr>
            </w:pPr>
            <w:r>
              <w:rPr/>
              <w:t>09.04.2019 на рiчних загальних зборах акцiонерiв ПРАТ "ПОЕЗ-КЕРНЕЛ ГРУП", надалi – товариство, прийнято рiшення про попереднє надання згоди на вчинення значних правочинiв, якi можуть вчинятися товариством у строк до 08.04.2020 (</w:t>
            </w:r>
            <w:bookmarkStart w:id="0" w:name="_GoBack"/>
            <w:bookmarkEnd w:id="0"/>
            <w:r>
              <w:rPr/>
              <w:t>включно) за умови попереднього погодження таких правочинiв наглядовою радою товариства, граничною вартiстю 5 (п'ять) млрд. доларiв США або вiдповiдний еквiвалент в iншiй iноземнiй або нацiональнiй валютi, наступного характеру: купiвля – продаж, поставка, вiдчуження або набуття у власнiсть будь-якого майна, застава (у тому числi iпотека), порука, надання або одержання послуг, позик, кредитiв, оренда, користування майном, фiнансовий лiзинг. Гранична сукупна вартiсть правочинiв: 133220690 тис.грн. (5 (п'ять) млрд. доларiв США за курсом НБУ 26,644138 грн. на 09.04.2019), вартiсть активiв емiтента за даними останньої рiчної фiнансової звiтностi: 831255 тис.грн., спiввiдношення граничної сукупної вартостi правочинiв до вартостi активiв емiтента за даними останньої рiчної фiнансової звiтностi: 16026,5%. Загальна кiлькiсть голосуючих акцiй 118 506 982 штук, кiлькiсть голосуючих акцiй, що зареєстрованi для участi у загальних зборах 118 338 960 штук, кiлькiсть голосуючих акцiй, що проголосували «за» 118 338 960 штук, «проти» прийняття рiшення – немає.</w:t>
            </w:r>
          </w:p>
        </w:tc>
      </w:tr>
    </w:tbl>
    <w:p>
      <w:pPr>
        <w:pStyle w:val="Normal"/>
        <w:rPr/>
      </w:pPr>
      <w:r>
        <w:rPr/>
      </w:r>
    </w:p>
    <w:sectPr>
      <w:type w:val="nextPage"/>
      <w:pgSz w:orient="landscape" w:w="16838" w:h="11906"/>
      <w:pgMar w:left="851" w:right="1134" w:header="0" w:top="1134" w:footer="0" w:bottom="851"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egoe UI">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trackRevisions/>
  <w:defaultTabStop w:val="708"/>
  <w:compat>
    <w:compatSetting w:name="compatibilityMode" w:uri="http://schemas.microsoft.com/office/word" w:val="12"/>
    <w:compatSetting w:name="useWord2013TrackBottomHyphenation" w:uri="http://schemas.microsoft.com/office/word" w:val="1"/>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qFormat="1"/>
    <w:lsdException w:name="heading 4" w:uiPriority="9"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jc w:val="left"/>
    </w:pPr>
    <w:rPr>
      <w:rFonts w:eastAsia="" w:eastAsiaTheme="minorEastAsia" w:ascii="Times New Roman" w:hAnsi="Times New Roman" w:cs="Times New Roman"/>
      <w:color w:val="auto"/>
      <w:kern w:val="0"/>
      <w:sz w:val="24"/>
      <w:szCs w:val="24"/>
      <w:lang w:val="uk-UA" w:eastAsia="uk-UA" w:bidi="ar-SA"/>
    </w:rPr>
  </w:style>
  <w:style w:type="paragraph" w:styleId="3">
    <w:name w:val="Heading 3"/>
    <w:basedOn w:val="Normal"/>
    <w:link w:val="30"/>
    <w:uiPriority w:val="9"/>
    <w:qFormat/>
    <w:pPr>
      <w:spacing w:before="0" w:after="300"/>
      <w:jc w:val="center"/>
      <w:outlineLvl w:val="2"/>
    </w:pPr>
    <w:rPr>
      <w:b/>
      <w:bCs/>
      <w:sz w:val="28"/>
      <w:szCs w:val="28"/>
    </w:rPr>
  </w:style>
  <w:style w:type="paragraph" w:styleId="4">
    <w:name w:val="Heading 4"/>
    <w:basedOn w:val="Normal"/>
    <w:link w:val="40"/>
    <w:uiPriority w:val="9"/>
    <w:qFormat/>
    <w:pPr>
      <w:spacing w:before="0" w:after="225"/>
      <w:jc w:val="center"/>
      <w:outlineLvl w:val="3"/>
    </w:pPr>
    <w:rPr>
      <w:b/>
      <w:bCs/>
    </w:rPr>
  </w:style>
  <w:style w:type="character" w:styleId="DefaultParagraphFont" w:default="1">
    <w:name w:val="Default Paragraph Font"/>
    <w:uiPriority w:val="1"/>
    <w:semiHidden/>
    <w:unhideWhenUsed/>
    <w:qFormat/>
    <w:rPr/>
  </w:style>
  <w:style w:type="character" w:styleId="31" w:customStyle="1">
    <w:name w:val="Заголовок 3 Знак"/>
    <w:basedOn w:val="DefaultParagraphFont"/>
    <w:link w:val="3"/>
    <w:uiPriority w:val="9"/>
    <w:semiHidden/>
    <w:qFormat/>
    <w:rPr>
      <w:rFonts w:ascii="Cambria" w:hAnsi="Cambria" w:eastAsia="" w:cs="" w:asciiTheme="majorHAnsi" w:cstheme="majorBidi" w:eastAsiaTheme="majorEastAsia" w:hAnsiTheme="majorHAnsi"/>
      <w:b/>
      <w:bCs/>
      <w:color w:val="4F81BD" w:themeColor="accent1"/>
      <w:sz w:val="24"/>
      <w:szCs w:val="24"/>
    </w:rPr>
  </w:style>
  <w:style w:type="character" w:styleId="41" w:customStyle="1">
    <w:name w:val="Заголовок 4 Знак"/>
    <w:basedOn w:val="DefaultParagraphFont"/>
    <w:link w:val="4"/>
    <w:uiPriority w:val="9"/>
    <w:semiHidden/>
    <w:qFormat/>
    <w:rPr>
      <w:rFonts w:ascii="Cambria" w:hAnsi="Cambria" w:eastAsia="" w:cs="" w:asciiTheme="majorHAnsi" w:cstheme="majorBidi" w:eastAsiaTheme="majorEastAsia" w:hAnsiTheme="majorHAnsi"/>
      <w:b/>
      <w:bCs/>
      <w:i/>
      <w:iCs/>
      <w:color w:val="4F81BD" w:themeColor="accent1"/>
      <w:sz w:val="24"/>
      <w:szCs w:val="24"/>
    </w:rPr>
  </w:style>
  <w:style w:type="character" w:styleId="Smalltext1" w:customStyle="1">
    <w:name w:val="small-text1"/>
    <w:basedOn w:val="DefaultParagraphFont"/>
    <w:qFormat/>
    <w:rPr>
      <w:sz w:val="20"/>
      <w:szCs w:val="20"/>
    </w:rPr>
  </w:style>
  <w:style w:type="character" w:styleId="Style12" w:customStyle="1">
    <w:name w:val="Текст выноски Знак"/>
    <w:basedOn w:val="DefaultParagraphFont"/>
    <w:link w:val="a4"/>
    <w:uiPriority w:val="99"/>
    <w:semiHidden/>
    <w:qFormat/>
    <w:rsid w:val="00213e68"/>
    <w:rPr>
      <w:rFonts w:ascii="Segoe UI" w:hAnsi="Segoe UI" w:eastAsia="" w:cs="Segoe UI" w:eastAsiaTheme="minorEastAsia"/>
      <w:sz w:val="18"/>
      <w:szCs w:val="18"/>
    </w:rPr>
  </w:style>
  <w:style w:type="paragraph" w:styleId="Style13">
    <w:name w:val="Заголовок"/>
    <w:basedOn w:val="Normal"/>
    <w:next w:val="Style14"/>
    <w:qFormat/>
    <w:pPr>
      <w:keepNext w:val="true"/>
      <w:spacing w:before="240" w:after="120"/>
    </w:pPr>
    <w:rPr>
      <w:rFonts w:ascii="Liberation Sans" w:hAnsi="Liberation Sans" w:eastAsia="Microsoft YaHei" w:cs="Mang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Justify" w:customStyle="1">
    <w:name w:val="justify"/>
    <w:basedOn w:val="Normal"/>
    <w:qFormat/>
    <w:pPr>
      <w:spacing w:beforeAutospacing="1" w:afterAutospacing="1"/>
      <w:jc w:val="both"/>
    </w:pPr>
    <w:rPr/>
  </w:style>
  <w:style w:type="paragraph" w:styleId="Zmist" w:customStyle="1">
    <w:name w:val="zmist"/>
    <w:basedOn w:val="Normal"/>
    <w:qFormat/>
    <w:pPr>
      <w:spacing w:beforeAutospacing="1" w:afterAutospacing="1"/>
      <w:ind w:firstLine="200"/>
    </w:pPr>
    <w:rPr/>
  </w:style>
  <w:style w:type="paragraph" w:styleId="Left" w:customStyle="1">
    <w:name w:val="left"/>
    <w:basedOn w:val="Normal"/>
    <w:qFormat/>
    <w:pPr>
      <w:spacing w:beforeAutospacing="1" w:afterAutospacing="1"/>
    </w:pPr>
    <w:rPr/>
  </w:style>
  <w:style w:type="paragraph" w:styleId="Right" w:customStyle="1">
    <w:name w:val="right"/>
    <w:basedOn w:val="Normal"/>
    <w:qFormat/>
    <w:pPr>
      <w:spacing w:beforeAutospacing="1" w:afterAutospacing="1"/>
      <w:jc w:val="right"/>
    </w:pPr>
    <w:rPr/>
  </w:style>
  <w:style w:type="paragraph" w:styleId="Center" w:customStyle="1">
    <w:name w:val="center"/>
    <w:basedOn w:val="Normal"/>
    <w:qFormat/>
    <w:pPr>
      <w:spacing w:beforeAutospacing="1" w:afterAutospacing="1"/>
      <w:jc w:val="center"/>
    </w:pPr>
    <w:rPr/>
  </w:style>
  <w:style w:type="paragraph" w:styleId="Bold" w:customStyle="1">
    <w:name w:val="bold"/>
    <w:basedOn w:val="Normal"/>
    <w:qFormat/>
    <w:pPr>
      <w:spacing w:beforeAutospacing="1" w:afterAutospacing="1"/>
    </w:pPr>
    <w:rPr>
      <w:b/>
      <w:bCs/>
    </w:rPr>
  </w:style>
  <w:style w:type="paragraph" w:styleId="Brdnone" w:customStyle="1">
    <w:name w:val="brdnone"/>
    <w:basedOn w:val="Normal"/>
    <w:qFormat/>
    <w:pPr>
      <w:spacing w:beforeAutospacing="1" w:afterAutospacing="1"/>
    </w:pPr>
    <w:rPr/>
  </w:style>
  <w:style w:type="paragraph" w:styleId="Brdbtm" w:customStyle="1">
    <w:name w:val="brdbtm"/>
    <w:basedOn w:val="Normal"/>
    <w:qFormat/>
    <w:pPr>
      <w:pBdr>
        <w:bottom w:val="single" w:sz="6" w:space="0" w:color="000000"/>
      </w:pBdr>
      <w:spacing w:beforeAutospacing="1" w:afterAutospacing="1"/>
    </w:pPr>
    <w:rPr/>
  </w:style>
  <w:style w:type="paragraph" w:styleId="Brdtop" w:customStyle="1">
    <w:name w:val="brdtop"/>
    <w:basedOn w:val="Normal"/>
    <w:qFormat/>
    <w:pPr>
      <w:pBdr>
        <w:top w:val="single" w:sz="6" w:space="0" w:color="000000"/>
      </w:pBdr>
      <w:spacing w:beforeAutospacing="1" w:afterAutospacing="1"/>
    </w:pPr>
    <w:rPr/>
  </w:style>
  <w:style w:type="paragraph" w:styleId="Brdall" w:customStyle="1">
    <w:name w:val="brdall"/>
    <w:basedOn w:val="Normal"/>
    <w:qFormat/>
    <w:pPr>
      <w:pBdr>
        <w:top w:val="single" w:sz="6" w:space="0" w:color="000000"/>
        <w:left w:val="single" w:sz="6" w:space="0" w:color="000000"/>
        <w:bottom w:val="single" w:sz="6" w:space="0" w:color="000000"/>
        <w:right w:val="single" w:sz="6" w:space="0" w:color="000000"/>
      </w:pBdr>
      <w:spacing w:beforeAutospacing="1" w:afterAutospacing="1"/>
    </w:pPr>
    <w:rPr/>
  </w:style>
  <w:style w:type="paragraph" w:styleId="Smalltext" w:customStyle="1">
    <w:name w:val="small-text"/>
    <w:basedOn w:val="Normal"/>
    <w:qFormat/>
    <w:pPr>
      <w:spacing w:beforeAutospacing="1" w:afterAutospacing="1"/>
    </w:pPr>
    <w:rPr>
      <w:sz w:val="20"/>
      <w:szCs w:val="20"/>
    </w:rPr>
  </w:style>
  <w:style w:type="paragraph" w:styleId="Pagebreak" w:customStyle="1">
    <w:name w:val="pagebreak"/>
    <w:basedOn w:val="Normal"/>
    <w:qFormat/>
    <w:pPr>
      <w:pageBreakBefore/>
      <w:spacing w:beforeAutospacing="1" w:afterAutospacing="1"/>
    </w:pPr>
    <w:rPr/>
  </w:style>
  <w:style w:type="paragraph" w:styleId="NormalWeb">
    <w:name w:val="Normal (Web)"/>
    <w:basedOn w:val="Normal"/>
    <w:uiPriority w:val="99"/>
    <w:semiHidden/>
    <w:unhideWhenUsed/>
    <w:qFormat/>
    <w:pPr>
      <w:spacing w:beforeAutospacing="1" w:afterAutospacing="1"/>
    </w:pPr>
    <w:rPr/>
  </w:style>
  <w:style w:type="paragraph" w:styleId="BalloonText">
    <w:name w:val="Balloon Text"/>
    <w:basedOn w:val="Normal"/>
    <w:link w:val="a5"/>
    <w:uiPriority w:val="99"/>
    <w:semiHidden/>
    <w:unhideWhenUsed/>
    <w:qFormat/>
    <w:rsid w:val="00213e68"/>
    <w:pPr/>
    <w:rPr>
      <w:rFonts w:ascii="Segoe UI" w:hAnsi="Segoe UI" w:cs="Segoe UI"/>
      <w:sz w:val="18"/>
      <w:szCs w:val="18"/>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Application>LibreOffice/6.1.4.2$Windows_x86 LibreOffice_project/9d0f32d1f0b509096fd65e0d4bec26ddd1938fd3</Application>
  <Pages>3</Pages>
  <Words>443</Words>
  <Characters>3107</Characters>
  <CharactersWithSpaces>3513</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2019-04-10T05:14:00Z</dcterms:created>
  <dc:creator>PC</dc:creator>
  <dc:description/>
  <dc:language>uk-UA</dc:language>
  <cp:lastModifiedBy/>
  <dcterms:modified xsi:type="dcterms:W3CDTF">2019-04-10T15:22:43Z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