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i/>
          <w:i/>
          <w:lang w:val="uk-UA"/>
        </w:rPr>
      </w:pPr>
      <w:r>
        <w:rPr>
          <w:i/>
          <w:lang w:val="uk-UA"/>
        </w:rPr>
      </w:r>
    </w:p>
    <w:p>
      <w:pPr>
        <w:pStyle w:val="Normal"/>
        <w:jc w:val="right"/>
        <w:rPr>
          <w:i/>
          <w:i/>
          <w:lang w:val="uk-UA"/>
        </w:rPr>
      </w:pPr>
      <w:r>
        <w:rPr>
          <w:i/>
          <w:lang w:val="uk-UA"/>
        </w:rPr>
      </w:r>
    </w:p>
    <w:p>
      <w:pPr>
        <w:pStyle w:val="Normal"/>
        <w:jc w:val="right"/>
        <w:rPr>
          <w:i/>
          <w:i/>
          <w:lang w:val="uk-UA"/>
        </w:rPr>
      </w:pPr>
      <w:r>
        <w:rPr>
          <w:i/>
          <w:lang w:val="uk-UA"/>
        </w:rPr>
      </w:r>
    </w:p>
    <w:p>
      <w:pPr>
        <w:pStyle w:val="Normal"/>
        <w:jc w:val="right"/>
        <w:rPr>
          <w:i/>
          <w:i/>
          <w:lang w:val="uk-UA"/>
        </w:rPr>
      </w:pPr>
      <w:r>
        <w:rPr>
          <w:i/>
          <w:lang w:val="uk-UA"/>
        </w:rPr>
      </w:r>
    </w:p>
    <w:p>
      <w:pPr>
        <w:pStyle w:val="Normal"/>
        <w:jc w:val="right"/>
        <w:rPr>
          <w:i/>
          <w:i/>
          <w:lang w:val="uk-UA"/>
        </w:rPr>
      </w:pPr>
      <w:r>
        <w:rPr>
          <w:i/>
          <w:lang w:val="uk-UA"/>
        </w:rPr>
      </w:r>
    </w:p>
    <w:tbl>
      <w:tblPr>
        <w:tblW w:w="9570" w:type="dxa"/>
        <w:jc w:val="left"/>
        <w:tblInd w:w="0" w:type="dxa"/>
        <w:tblCellMar>
          <w:top w:w="0" w:type="dxa"/>
          <w:left w:w="108" w:type="dxa"/>
          <w:bottom w:w="0" w:type="dxa"/>
          <w:right w:w="108" w:type="dxa"/>
        </w:tblCellMar>
        <w:tblLook w:firstRow="1" w:noVBand="0" w:lastRow="1" w:firstColumn="1" w:lastColumn="1" w:noHBand="0" w:val="01e0"/>
      </w:tblPr>
      <w:tblGrid>
        <w:gridCol w:w="4927"/>
        <w:gridCol w:w="4543"/>
        <w:gridCol w:w="99"/>
      </w:tblGrid>
      <w:tr>
        <w:trPr/>
        <w:tc>
          <w:tcPr>
            <w:tcW w:w="9470" w:type="dxa"/>
            <w:gridSpan w:val="2"/>
            <w:tcBorders/>
            <w:shd w:color="auto" w:fill="auto" w:val="clear"/>
          </w:tcPr>
          <w:p>
            <w:pPr>
              <w:pStyle w:val="Normal"/>
              <w:jc w:val="center"/>
              <w:rPr>
                <w:b/>
                <w:b/>
                <w:bCs/>
                <w:sz w:val="40"/>
                <w:szCs w:val="40"/>
                <w:lang w:val="uk-UA"/>
              </w:rPr>
            </w:pPr>
            <w:r>
              <w:rPr>
                <w:b/>
                <w:bCs/>
                <w:sz w:val="40"/>
                <w:szCs w:val="40"/>
                <w:lang w:val="uk-UA"/>
              </w:rPr>
            </w:r>
          </w:p>
          <w:p>
            <w:pPr>
              <w:pStyle w:val="Normal"/>
              <w:jc w:val="center"/>
              <w:rPr>
                <w:b/>
                <w:b/>
                <w:bCs/>
                <w:sz w:val="28"/>
                <w:szCs w:val="28"/>
                <w:lang w:val="uk-UA"/>
              </w:rPr>
            </w:pPr>
            <w:r>
              <w:rPr>
                <w:b/>
                <w:bCs/>
                <w:sz w:val="40"/>
                <w:szCs w:val="40"/>
                <w:lang w:val="uk-UA"/>
              </w:rPr>
              <w:t>Бюлетень</w:t>
            </w:r>
          </w:p>
          <w:p>
            <w:pPr>
              <w:pStyle w:val="Normal"/>
              <w:jc w:val="center"/>
              <w:rPr>
                <w:sz w:val="24"/>
                <w:szCs w:val="24"/>
              </w:rPr>
            </w:pPr>
            <w:r>
              <w:rPr>
                <w:bCs/>
                <w:sz w:val="24"/>
                <w:szCs w:val="24"/>
                <w:lang w:val="uk-UA"/>
              </w:rPr>
              <w:t xml:space="preserve">для голосування (щодо інших питань порядку денного, крім обрання органів товариства) на дистанційних  </w:t>
            </w:r>
            <w:r>
              <w:rPr>
                <w:bCs/>
                <w:sz w:val="24"/>
                <w:szCs w:val="24"/>
                <w:lang w:val="uk-UA"/>
              </w:rPr>
              <w:t xml:space="preserve">річних </w:t>
            </w:r>
            <w:r>
              <w:rPr>
                <w:bCs/>
                <w:sz w:val="24"/>
                <w:szCs w:val="24"/>
                <w:lang w:val="uk-UA"/>
              </w:rPr>
              <w:t>Загальних зборах акціонерів</w:t>
            </w:r>
          </w:p>
          <w:p>
            <w:pPr>
              <w:pStyle w:val="Normal"/>
              <w:jc w:val="center"/>
              <w:rPr>
                <w:sz w:val="24"/>
                <w:szCs w:val="24"/>
              </w:rPr>
            </w:pPr>
            <w:r>
              <w:rPr>
                <w:sz w:val="24"/>
                <w:szCs w:val="24"/>
                <w:lang w:val="uk-UA"/>
              </w:rPr>
              <w:t>П</w:t>
            </w:r>
            <w:r>
              <w:rPr>
                <w:rFonts w:eastAsia="Times New Roman" w:cs="Times New Roman"/>
                <w:sz w:val="24"/>
                <w:szCs w:val="24"/>
                <w:lang w:val="uk-UA" w:eastAsia="ru-RU"/>
              </w:rPr>
              <w:t>риват</w:t>
            </w:r>
            <w:r>
              <w:rPr>
                <w:sz w:val="24"/>
                <w:szCs w:val="24"/>
                <w:lang w:val="uk-UA"/>
              </w:rPr>
              <w:t>ного акціонерного товариства «</w:t>
            </w:r>
            <w:r>
              <w:rPr>
                <w:sz w:val="24"/>
                <w:szCs w:val="24"/>
                <w:lang w:val="en-US"/>
              </w:rPr>
              <w:t>Н</w:t>
            </w:r>
            <w:r>
              <w:rPr>
                <w:rFonts w:eastAsia="Times New Roman" w:cs="Times New Roman"/>
                <w:sz w:val="24"/>
                <w:szCs w:val="24"/>
                <w:lang w:val="en-US" w:eastAsia="ru-RU"/>
              </w:rPr>
              <w:t>овоолександрiвське</w:t>
            </w:r>
            <w:r>
              <w:rPr>
                <w:sz w:val="24"/>
                <w:szCs w:val="24"/>
                <w:lang w:val="uk-UA"/>
              </w:rPr>
              <w:t>»</w:t>
            </w:r>
          </w:p>
        </w:tc>
        <w:tc>
          <w:tcPr>
            <w:tcW w:w="99" w:type="dxa"/>
            <w:tcBorders/>
          </w:tcPr>
          <w:p>
            <w:pPr>
              <w:pStyle w:val="Normal"/>
              <w:rPr/>
            </w:pPr>
            <w:r>
              <w:rPr/>
            </w:r>
          </w:p>
        </w:tc>
      </w:tr>
      <w:tr>
        <w:trPr/>
        <w:tc>
          <w:tcPr>
            <w:tcW w:w="9470" w:type="dxa"/>
            <w:gridSpan w:val="2"/>
            <w:tcBorders/>
            <w:shd w:color="auto" w:fill="auto" w:val="clear"/>
          </w:tcPr>
          <w:p>
            <w:pPr>
              <w:pStyle w:val="Normal"/>
              <w:jc w:val="center"/>
              <w:rPr>
                <w:b/>
                <w:b/>
                <w:bCs/>
                <w:sz w:val="28"/>
                <w:szCs w:val="28"/>
                <w:lang w:val="uk-UA"/>
              </w:rPr>
            </w:pPr>
            <w:r>
              <w:rPr>
                <w:b/>
                <w:bCs/>
                <w:sz w:val="28"/>
                <w:szCs w:val="28"/>
                <w:lang w:val="uk-UA"/>
              </w:rPr>
            </w:r>
          </w:p>
        </w:tc>
        <w:tc>
          <w:tcPr>
            <w:tcW w:w="99" w:type="dxa"/>
            <w:tcBorders/>
          </w:tcPr>
          <w:p>
            <w:pPr>
              <w:pStyle w:val="Normal"/>
              <w:rPr/>
            </w:pPr>
            <w:r>
              <w:rPr/>
            </w:r>
          </w:p>
        </w:tc>
      </w:tr>
      <w:tr>
        <w:trPr/>
        <w:tc>
          <w:tcPr>
            <w:tcW w:w="4927" w:type="dxa"/>
            <w:tcBorders/>
            <w:shd w:color="auto" w:fill="auto" w:val="clear"/>
          </w:tcPr>
          <w:p>
            <w:pPr>
              <w:pStyle w:val="Normal"/>
              <w:rPr>
                <w:sz w:val="22"/>
                <w:szCs w:val="22"/>
              </w:rPr>
            </w:pPr>
            <w:r>
              <w:rPr>
                <w:sz w:val="22"/>
                <w:szCs w:val="22"/>
                <w:lang w:val="uk-UA"/>
              </w:rPr>
              <w:t>Дата проведення загальних зборів:</w:t>
            </w:r>
          </w:p>
          <w:p>
            <w:pPr>
              <w:pStyle w:val="Normal"/>
              <w:rPr>
                <w:sz w:val="22"/>
                <w:szCs w:val="22"/>
                <w:lang w:val="uk-UA"/>
              </w:rPr>
            </w:pPr>
            <w:r>
              <w:rPr>
                <w:sz w:val="22"/>
                <w:szCs w:val="22"/>
                <w:lang w:val="uk-UA"/>
              </w:rPr>
            </w:r>
          </w:p>
          <w:p>
            <w:pPr>
              <w:pStyle w:val="Normal"/>
              <w:rPr>
                <w:sz w:val="22"/>
                <w:szCs w:val="22"/>
              </w:rPr>
            </w:pPr>
            <w:r>
              <w:rPr>
                <w:sz w:val="22"/>
                <w:szCs w:val="22"/>
                <w:lang w:val="uk-UA"/>
              </w:rPr>
              <w:t xml:space="preserve">Дата заповнення бюлетеня акціонером (представником акціонера):     </w:t>
            </w:r>
          </w:p>
          <w:p>
            <w:pPr>
              <w:pStyle w:val="Normal"/>
              <w:rPr>
                <w:sz w:val="22"/>
                <w:szCs w:val="22"/>
              </w:rPr>
            </w:pPr>
            <w:r>
              <w:rPr>
                <w:sz w:val="22"/>
                <w:szCs w:val="22"/>
                <w:lang w:val="uk-UA"/>
              </w:rPr>
              <w:t xml:space="preserve">                                </w:t>
            </w:r>
          </w:p>
        </w:tc>
        <w:tc>
          <w:tcPr>
            <w:tcW w:w="4642" w:type="dxa"/>
            <w:gridSpan w:val="2"/>
            <w:tcBorders/>
            <w:shd w:color="auto" w:fill="auto" w:val="clear"/>
          </w:tcPr>
          <w:p>
            <w:pPr>
              <w:pStyle w:val="Normal"/>
              <w:jc w:val="both"/>
              <w:rPr>
                <w:lang w:val="uk-UA"/>
              </w:rPr>
            </w:pPr>
            <w:r>
              <w:rPr>
                <w:lang w:val="en-US"/>
              </w:rPr>
              <w:t>30</w:t>
            </w:r>
            <w:r>
              <w:rPr>
                <w:lang w:val="uk-UA"/>
              </w:rPr>
              <w:t>.12.2020</w:t>
            </w:r>
          </w:p>
          <w:p>
            <w:pPr>
              <w:pStyle w:val="Normal"/>
              <w:jc w:val="both"/>
              <w:rPr>
                <w:lang w:val="uk-UA"/>
              </w:rPr>
            </w:pPr>
            <w:r>
              <w:rPr>
                <w:lang w:val="uk-UA"/>
              </w:rPr>
            </w:r>
          </w:p>
          <w:p>
            <w:pPr>
              <w:pStyle w:val="Normal"/>
              <w:jc w:val="both"/>
              <w:rPr>
                <w:lang w:val="uk-UA"/>
              </w:rPr>
            </w:pPr>
            <w:r>
              <w:rPr>
                <w:lang w:val="uk-UA"/>
              </w:rPr>
            </w:r>
          </w:p>
        </w:tc>
      </w:tr>
      <w:tr>
        <w:trPr/>
        <w:tc>
          <w:tcPr>
            <w:tcW w:w="4927" w:type="dxa"/>
            <w:tcBorders/>
            <w:shd w:color="auto" w:fill="auto" w:val="clear"/>
          </w:tcPr>
          <w:p>
            <w:pPr>
              <w:pStyle w:val="Normal"/>
              <w:rPr>
                <w:sz w:val="22"/>
                <w:szCs w:val="22"/>
              </w:rPr>
            </w:pPr>
            <w:r>
              <w:rPr>
                <w:bCs/>
                <w:color w:val="000000"/>
                <w:sz w:val="22"/>
                <w:szCs w:val="22"/>
                <w:lang w:val="uk-UA"/>
              </w:rPr>
              <w:t>Кількість голосів, що належать акціонеру:</w:t>
            </w:r>
          </w:p>
        </w:tc>
        <w:tc>
          <w:tcPr>
            <w:tcW w:w="4642" w:type="dxa"/>
            <w:gridSpan w:val="2"/>
            <w:tcBorders/>
            <w:shd w:color="auto" w:fill="auto" w:val="clear"/>
          </w:tcPr>
          <w:p>
            <w:pPr>
              <w:pStyle w:val="Normal"/>
              <w:jc w:val="both"/>
              <w:rPr>
                <w:b/>
                <w:b/>
                <w:i/>
                <w:i/>
                <w:lang w:val="uk-UA"/>
              </w:rPr>
            </w:pPr>
            <w:r>
              <w:rPr>
                <w:b/>
                <w:i/>
                <w:lang w:val="uk-UA"/>
              </w:rPr>
              <w:t>_____________ (_____________)</w:t>
            </w:r>
          </w:p>
        </w:tc>
      </w:tr>
      <w:tr>
        <w:trPr/>
        <w:tc>
          <w:tcPr>
            <w:tcW w:w="4927" w:type="dxa"/>
            <w:tcBorders/>
            <w:shd w:color="auto" w:fill="auto" w:val="clear"/>
          </w:tcPr>
          <w:p>
            <w:pPr>
              <w:pStyle w:val="Normal"/>
              <w:rPr>
                <w:bCs/>
                <w:color w:val="000000"/>
                <w:sz w:val="16"/>
                <w:szCs w:val="16"/>
                <w:lang w:val="uk-UA"/>
              </w:rPr>
            </w:pPr>
            <w:r>
              <w:rPr>
                <w:bCs/>
                <w:color w:val="000000"/>
                <w:sz w:val="16"/>
                <w:szCs w:val="16"/>
                <w:lang w:val="uk-UA"/>
              </w:rPr>
            </w:r>
          </w:p>
        </w:tc>
        <w:tc>
          <w:tcPr>
            <w:tcW w:w="4642" w:type="dxa"/>
            <w:gridSpan w:val="2"/>
            <w:tcBorders/>
            <w:shd w:color="auto" w:fill="auto" w:val="clear"/>
          </w:tcPr>
          <w:p>
            <w:pPr>
              <w:pStyle w:val="Normal"/>
              <w:jc w:val="center"/>
              <w:rPr>
                <w:bCs/>
                <w:i/>
                <w:i/>
                <w:iCs/>
                <w:color w:val="000000"/>
                <w:lang w:val="uk-UA"/>
              </w:rPr>
            </w:pPr>
            <w:r>
              <w:rPr>
                <w:bCs/>
                <w:i/>
                <w:iCs/>
                <w:color w:val="000000"/>
                <w:lang w:val="uk-UA"/>
              </w:rPr>
              <w:t xml:space="preserve">        </w:t>
            </w:r>
            <w:r>
              <w:rPr>
                <w:bCs/>
                <w:i/>
                <w:iCs/>
                <w:color w:val="000000"/>
                <w:lang w:val="uk-UA"/>
              </w:rPr>
              <w:t>(прописом)</w:t>
            </w:r>
          </w:p>
        </w:tc>
      </w:tr>
      <w:tr>
        <w:trPr/>
        <w:tc>
          <w:tcPr>
            <w:tcW w:w="4927" w:type="dxa"/>
            <w:tcBorders/>
            <w:shd w:color="auto" w:fill="auto" w:val="clear"/>
          </w:tcPr>
          <w:p>
            <w:pPr>
              <w:pStyle w:val="Normal"/>
              <w:rPr>
                <w:bCs/>
                <w:color w:val="000000"/>
                <w:u w:val="single"/>
                <w:lang w:val="uk-UA"/>
              </w:rPr>
            </w:pPr>
            <w:r>
              <w:rPr>
                <w:bCs/>
                <w:color w:val="000000"/>
                <w:u w:val="single"/>
                <w:lang w:val="uk-UA"/>
              </w:rPr>
              <w:t>Реквізити акціонера:</w:t>
            </w:r>
          </w:p>
          <w:p>
            <w:pPr>
              <w:pStyle w:val="Normal"/>
              <w:rPr>
                <w:bCs/>
                <w:color w:val="000000"/>
                <w:lang w:val="uk-UA"/>
              </w:rPr>
            </w:pPr>
            <w:r>
              <w:rPr>
                <w:bCs/>
                <w:color w:val="000000"/>
                <w:lang w:val="uk-UA"/>
              </w:rPr>
              <w:t xml:space="preserve">П.І.Б./найменування акціонера </w:t>
            </w:r>
          </w:p>
          <w:p>
            <w:pPr>
              <w:pStyle w:val="Normal"/>
              <w:rPr>
                <w:bCs/>
                <w:color w:val="000000"/>
                <w:sz w:val="16"/>
                <w:szCs w:val="16"/>
                <w:lang w:val="uk-UA"/>
              </w:rPr>
            </w:pPr>
            <w:r>
              <w:rPr>
                <w:bCs/>
                <w:color w:val="000000"/>
                <w:sz w:val="16"/>
                <w:szCs w:val="16"/>
                <w:lang w:val="uk-UA"/>
              </w:rPr>
            </w:r>
          </w:p>
        </w:tc>
        <w:tc>
          <w:tcPr>
            <w:tcW w:w="4642" w:type="dxa"/>
            <w:gridSpan w:val="2"/>
            <w:tcBorders/>
            <w:shd w:color="auto" w:fill="auto" w:val="clear"/>
          </w:tcPr>
          <w:p>
            <w:pPr>
              <w:pStyle w:val="Normal"/>
              <w:jc w:val="center"/>
              <w:rPr>
                <w:bCs/>
                <w:i/>
                <w:i/>
                <w:iCs/>
                <w:color w:val="000000"/>
                <w:lang w:val="uk-UA"/>
              </w:rPr>
            </w:pPr>
            <w:r>
              <w:rPr>
                <w:bCs/>
                <w:i/>
                <w:iCs/>
                <w:color w:val="000000"/>
                <w:lang w:val="uk-UA"/>
              </w:rPr>
            </w:r>
          </w:p>
        </w:tc>
      </w:tr>
      <w:tr>
        <w:trPr/>
        <w:tc>
          <w:tcPr>
            <w:tcW w:w="4927" w:type="dxa"/>
            <w:tcBorders/>
            <w:shd w:color="auto" w:fill="auto" w:val="clear"/>
          </w:tcPr>
          <w:p>
            <w:pPr>
              <w:pStyle w:val="Normal"/>
              <w:rPr>
                <w:sz w:val="22"/>
                <w:szCs w:val="22"/>
              </w:rPr>
            </w:pPr>
            <w:r>
              <w:rPr>
                <w:sz w:val="22"/>
                <w:szCs w:val="22"/>
                <w:lang w:val="uk-UA"/>
              </w:rPr>
              <w:t xml:space="preserve">Назва, серія (за наявності), номер, дата видачі документа, що посвідчує фізичну особу та РНОКПП (за наявності) – для фізичної особи </w:t>
            </w:r>
          </w:p>
          <w:p>
            <w:pPr>
              <w:pStyle w:val="Normal"/>
              <w:rPr>
                <w:sz w:val="22"/>
                <w:szCs w:val="22"/>
                <w:lang w:val="uk-UA"/>
              </w:rPr>
            </w:pPr>
            <w:r>
              <w:rPr>
                <w:sz w:val="22"/>
                <w:szCs w:val="22"/>
                <w:lang w:val="uk-UA"/>
              </w:rPr>
            </w:r>
          </w:p>
          <w:p>
            <w:pPr>
              <w:pStyle w:val="Normal"/>
              <w:rPr>
                <w:sz w:val="22"/>
                <w:szCs w:val="22"/>
              </w:rPr>
            </w:pPr>
            <w:r>
              <w:rPr>
                <w:sz w:val="22"/>
                <w:szCs w:val="22"/>
                <w:lang w:val="uk-UA"/>
              </w:rPr>
              <w:t xml:space="preserve">Код за ЄДРПОУ та код за ЄДРІСІ (за наявності)/ ІКЮО  </w:t>
            </w:r>
            <w:r>
              <w:rPr>
                <w:i/>
                <w:sz w:val="22"/>
                <w:szCs w:val="22"/>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Pr>
                <w:sz w:val="22"/>
                <w:szCs w:val="22"/>
                <w:lang w:val="uk-UA"/>
              </w:rPr>
              <w:t>– для юридичної особи</w:t>
            </w:r>
          </w:p>
        </w:tc>
        <w:tc>
          <w:tcPr>
            <w:tcW w:w="4642" w:type="dxa"/>
            <w:gridSpan w:val="2"/>
            <w:tcBorders/>
            <w:shd w:color="auto" w:fill="auto" w:val="clear"/>
          </w:tcPr>
          <w:p>
            <w:pPr>
              <w:pStyle w:val="Normal"/>
              <w:jc w:val="both"/>
              <w:rPr>
                <w:b/>
                <w:b/>
                <w:bCs/>
                <w:lang w:val="uk-UA"/>
              </w:rPr>
            </w:pPr>
            <w:r>
              <w:rPr>
                <w:b/>
                <w:bCs/>
                <w:lang w:val="uk-UA"/>
              </w:rPr>
            </w:r>
          </w:p>
        </w:tc>
      </w:tr>
      <w:tr>
        <w:trPr/>
        <w:tc>
          <w:tcPr>
            <w:tcW w:w="4927" w:type="dxa"/>
            <w:tcBorders/>
            <w:shd w:color="auto" w:fill="auto" w:val="clear"/>
          </w:tcPr>
          <w:p>
            <w:pPr>
              <w:pStyle w:val="Normal"/>
              <w:rPr>
                <w:sz w:val="22"/>
                <w:szCs w:val="22"/>
                <w:lang w:val="uk-UA"/>
              </w:rPr>
            </w:pPr>
            <w:r>
              <w:rPr>
                <w:sz w:val="22"/>
                <w:szCs w:val="22"/>
                <w:lang w:val="uk-UA"/>
              </w:rPr>
            </w:r>
          </w:p>
          <w:p>
            <w:pPr>
              <w:pStyle w:val="Normal"/>
              <w:rPr>
                <w:sz w:val="22"/>
                <w:szCs w:val="22"/>
              </w:rPr>
            </w:pPr>
            <w:r>
              <w:rPr>
                <w:sz w:val="22"/>
                <w:szCs w:val="22"/>
                <w:u w:val="single"/>
                <w:lang w:val="uk-UA"/>
              </w:rPr>
              <w:t xml:space="preserve">Реквізити представника акціонера (за наявності):  </w:t>
            </w:r>
          </w:p>
          <w:p>
            <w:pPr>
              <w:pStyle w:val="Normal"/>
              <w:rPr>
                <w:sz w:val="22"/>
                <w:szCs w:val="22"/>
              </w:rPr>
            </w:pPr>
            <w:r>
              <w:rPr>
                <w:sz w:val="22"/>
                <w:szCs w:val="22"/>
                <w:lang w:val="uk-UA"/>
              </w:rPr>
              <w:t>П.І.Б.</w:t>
            </w:r>
            <w:r>
              <w:rPr>
                <w:bCs/>
                <w:color w:val="000000"/>
                <w:sz w:val="22"/>
                <w:szCs w:val="22"/>
                <w:lang w:val="uk-UA"/>
              </w:rPr>
              <w:t xml:space="preserve"> /найменування</w:t>
            </w:r>
            <w:r>
              <w:rPr>
                <w:sz w:val="22"/>
                <w:szCs w:val="22"/>
                <w:lang w:val="uk-UA"/>
              </w:rPr>
              <w:t xml:space="preserve"> представника акціонера</w:t>
            </w:r>
          </w:p>
          <w:p>
            <w:pPr>
              <w:pStyle w:val="Normal"/>
              <w:rPr>
                <w:sz w:val="22"/>
                <w:szCs w:val="22"/>
                <w:lang w:val="uk-UA"/>
              </w:rPr>
            </w:pPr>
            <w:r>
              <w:rPr>
                <w:sz w:val="22"/>
                <w:szCs w:val="22"/>
                <w:lang w:val="uk-UA"/>
              </w:rPr>
            </w:r>
          </w:p>
          <w:p>
            <w:pPr>
              <w:pStyle w:val="Normal"/>
              <w:rPr>
                <w:sz w:val="22"/>
                <w:szCs w:val="22"/>
              </w:rPr>
            </w:pPr>
            <w:r>
              <w:rPr>
                <w:sz w:val="22"/>
                <w:szCs w:val="22"/>
                <w:lang w:val="uk-UA"/>
              </w:rPr>
              <w:t>Назва, серія (за наявності), номер, дата видачі документа, що посвідчує фізичну особу та РНОКПП (за наявності) – для фізичної особи</w:t>
            </w:r>
          </w:p>
          <w:p>
            <w:pPr>
              <w:pStyle w:val="Normal"/>
              <w:rPr>
                <w:sz w:val="22"/>
                <w:szCs w:val="22"/>
                <w:lang w:val="uk-UA"/>
              </w:rPr>
            </w:pPr>
            <w:r>
              <w:rPr>
                <w:sz w:val="22"/>
                <w:szCs w:val="22"/>
                <w:lang w:val="uk-UA"/>
              </w:rPr>
            </w:r>
          </w:p>
          <w:p>
            <w:pPr>
              <w:pStyle w:val="Normal"/>
              <w:rPr>
                <w:sz w:val="22"/>
                <w:szCs w:val="22"/>
              </w:rPr>
            </w:pPr>
            <w:r>
              <w:rPr>
                <w:sz w:val="22"/>
                <w:szCs w:val="22"/>
                <w:lang w:val="uk-UA"/>
              </w:rPr>
              <w:t xml:space="preserve">Код за ЄДРПОУ та код за ЄДРІСІ (за наявності)/ ІКЮО  </w:t>
            </w:r>
            <w:r>
              <w:rPr>
                <w:i/>
                <w:sz w:val="22"/>
                <w:szCs w:val="22"/>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Pr>
                <w:sz w:val="22"/>
                <w:szCs w:val="22"/>
                <w:lang w:val="uk-UA"/>
              </w:rPr>
              <w:t>– для юридичної особи</w:t>
            </w:r>
          </w:p>
          <w:p>
            <w:pPr>
              <w:pStyle w:val="Normal"/>
              <w:rPr>
                <w:sz w:val="22"/>
                <w:szCs w:val="22"/>
                <w:lang w:val="uk-UA"/>
              </w:rPr>
            </w:pPr>
            <w:r>
              <w:rPr>
                <w:sz w:val="22"/>
                <w:szCs w:val="22"/>
                <w:lang w:val="uk-UA"/>
              </w:rPr>
            </w:r>
          </w:p>
        </w:tc>
        <w:tc>
          <w:tcPr>
            <w:tcW w:w="4642" w:type="dxa"/>
            <w:gridSpan w:val="2"/>
            <w:tcBorders/>
            <w:shd w:color="auto" w:fill="auto" w:val="clear"/>
          </w:tcPr>
          <w:p>
            <w:pPr>
              <w:pStyle w:val="Normal"/>
              <w:jc w:val="both"/>
              <w:rPr>
                <w:b/>
                <w:b/>
                <w:bCs/>
                <w:lang w:val="uk-UA"/>
              </w:rPr>
            </w:pPr>
            <w:r>
              <w:rPr>
                <w:b/>
                <w:bCs/>
                <w:lang w:val="uk-UA"/>
              </w:rPr>
            </w:r>
          </w:p>
        </w:tc>
      </w:tr>
    </w:tbl>
    <w:p>
      <w:pPr>
        <w:pStyle w:val="Normal"/>
        <w:rPr>
          <w:bCs/>
          <w:i/>
          <w:i/>
          <w:iCs/>
          <w:color w:val="000000"/>
          <w:lang w:val="uk-UA"/>
        </w:rPr>
      </w:pPr>
      <w:r>
        <w:rPr>
          <w:bCs/>
          <w:i/>
          <w:iCs/>
          <w:color w:val="000000"/>
          <w:lang w:val="uk-UA"/>
        </w:rPr>
        <w:t>Питання, винесене на голосування:</w:t>
      </w:r>
    </w:p>
    <w:p>
      <w:pPr>
        <w:pStyle w:val="Normal"/>
        <w:ind w:firstLine="708"/>
        <w:jc w:val="both"/>
        <w:rPr>
          <w:sz w:val="28"/>
          <w:szCs w:val="28"/>
          <w:lang w:val="uk-UA"/>
        </w:rPr>
      </w:pPr>
      <w:r>
        <w:rPr>
          <w:sz w:val="28"/>
          <w:szCs w:val="28"/>
          <w:lang w:val="uk-UA"/>
        </w:rPr>
        <w:t>1.</w:t>
      </w:r>
      <w:r>
        <w:rPr>
          <w:b/>
          <w:lang w:val="uk-UA"/>
        </w:rPr>
        <w:t xml:space="preserve"> </w:t>
      </w:r>
      <w:r>
        <w:rPr>
          <w:rFonts w:cs="Times New Roman"/>
          <w:b/>
          <w:color w:val="000000"/>
          <w:sz w:val="28"/>
          <w:szCs w:val="28"/>
          <w:lang w:val="uk-UA"/>
        </w:rPr>
        <w:t>Розгляд та затвердження звіту правління Товариства за 2019 рік.</w:t>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Normal"/>
        <w:ind w:firstLine="708"/>
        <w:jc w:val="both"/>
        <w:rPr>
          <w:sz w:val="28"/>
          <w:szCs w:val="28"/>
          <w:lang w:val="uk-UA"/>
        </w:rPr>
      </w:pPr>
      <w:r>
        <w:rPr>
          <w:sz w:val="28"/>
          <w:szCs w:val="28"/>
          <w:lang w:val="uk-UA"/>
        </w:rPr>
        <w:t xml:space="preserve"> </w:t>
      </w:r>
      <w:r>
        <w:rPr>
          <w:rStyle w:val="Style13"/>
          <w:rFonts w:cs="Times New Roman"/>
          <w:b w:val="false"/>
          <w:bCs w:val="false"/>
          <w:color w:val="000000"/>
          <w:sz w:val="28"/>
          <w:szCs w:val="28"/>
          <w:lang w:val="uk-UA"/>
        </w:rPr>
        <w:t xml:space="preserve">Затвердити звіт правління Товариства за 2019 рік.  </w:t>
      </w:r>
    </w:p>
    <w:p>
      <w:pPr>
        <w:pStyle w:val="Normal"/>
        <w:widowControl w:val="false"/>
        <w:tabs>
          <w:tab w:val="clear" w:pos="708"/>
          <w:tab w:val="left" w:pos="90" w:leader="none"/>
        </w:tabs>
        <w:jc w:val="both"/>
        <w:rPr>
          <w:sz w:val="28"/>
          <w:szCs w:val="28"/>
          <w:lang w:val="uk-UA"/>
        </w:rPr>
      </w:pPr>
      <w:r>
        <w:rPr>
          <w:sz w:val="28"/>
          <w:szCs w:val="28"/>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widowControl w:val="false"/>
        <w:tabs>
          <w:tab w:val="clear" w:pos="708"/>
          <w:tab w:val="left" w:pos="90" w:leader="none"/>
        </w:tabs>
        <w:spacing w:before="120" w:after="0"/>
        <w:jc w:val="both"/>
        <w:rPr>
          <w:bCs/>
          <w:color w:val="000000"/>
          <w:lang w:val="uk-UA"/>
        </w:rPr>
      </w:pPr>
      <w:r>
        <w:rPr>
          <w:bCs/>
          <w:color w:val="000000"/>
          <w:lang w:val="uk-UA"/>
        </w:rPr>
      </w:r>
    </w:p>
    <w:p>
      <w:pPr>
        <w:pStyle w:val="Normal"/>
        <w:widowControl w:val="false"/>
        <w:tabs>
          <w:tab w:val="clear" w:pos="708"/>
          <w:tab w:val="left" w:pos="90" w:leader="none"/>
        </w:tabs>
        <w:spacing w:before="120" w:after="0"/>
        <w:jc w:val="both"/>
        <w:rPr>
          <w:bCs/>
          <w:color w:val="000000"/>
          <w:lang w:val="uk-UA"/>
        </w:rPr>
      </w:pPr>
      <w:r>
        <w:rPr>
          <w:bCs/>
          <w:color w:val="000000"/>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sz w:val="28"/>
          <w:szCs w:val="28"/>
          <w:lang w:val="uk-UA"/>
        </w:rPr>
        <w:t xml:space="preserve">2.  </w:t>
      </w:r>
      <w:r>
        <w:rPr>
          <w:rFonts w:cs="Times New Roman"/>
          <w:b/>
          <w:bCs/>
          <w:color w:val="000000"/>
          <w:sz w:val="28"/>
          <w:szCs w:val="28"/>
          <w:lang w:val="uk-UA"/>
        </w:rPr>
        <w:t>Розгляд та затвердження звіту наглядової ради Товариства за 2019 рік.</w:t>
      </w:r>
    </w:p>
    <w:p>
      <w:pPr>
        <w:pStyle w:val="Normal"/>
        <w:rPr>
          <w:bCs/>
          <w:i/>
          <w:i/>
          <w:iCs/>
          <w:color w:val="000000"/>
          <w:sz w:val="28"/>
          <w:szCs w:val="28"/>
          <w:lang w:val="uk-UA"/>
        </w:rPr>
      </w:pPr>
      <w:r>
        <w:rPr>
          <w:bCs/>
          <w:i/>
          <w:iCs/>
          <w:color w:val="000000"/>
          <w:sz w:val="28"/>
          <w:szCs w:val="28"/>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Normal"/>
        <w:ind w:firstLine="708"/>
        <w:jc w:val="both"/>
        <w:rPr/>
      </w:pPr>
      <w:r>
        <w:rPr>
          <w:b w:val="false"/>
          <w:bCs w:val="false"/>
          <w:sz w:val="28"/>
          <w:szCs w:val="28"/>
          <w:lang w:val="uk-UA"/>
        </w:rPr>
        <w:t xml:space="preserve"> </w:t>
      </w:r>
      <w:r>
        <w:rPr>
          <w:rStyle w:val="Style13"/>
          <w:rFonts w:cs="Times New Roman"/>
          <w:b w:val="false"/>
          <w:bCs w:val="false"/>
          <w:color w:val="000000"/>
          <w:sz w:val="28"/>
          <w:szCs w:val="28"/>
          <w:lang w:val="uk-UA"/>
        </w:rPr>
        <w:t>Затвердити звіт наглядової ради Товариства за 2019 рік.</w:t>
      </w:r>
    </w:p>
    <w:p>
      <w:pPr>
        <w:pStyle w:val="Normal"/>
        <w:ind w:firstLine="720"/>
        <w:jc w:val="both"/>
        <w:rPr>
          <w:lang w:val="uk-UA"/>
        </w:rPr>
      </w:pPr>
      <w:r>
        <w:rPr>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rFonts w:ascii="Arial" w:hAnsi="Arial"/>
                <w:lang w:val="uk-UA"/>
              </w:rPr>
              <w:t xml:space="preserve"> </w:t>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ind w:firstLine="720"/>
        <w:jc w:val="both"/>
        <w:rPr>
          <w:lang w:val="uk-UA"/>
        </w:rPr>
      </w:pPr>
      <w:r>
        <w:rPr>
          <w:lang w:val="uk-UA"/>
        </w:rPr>
      </w:r>
    </w:p>
    <w:p>
      <w:pPr>
        <w:pStyle w:val="Normal"/>
        <w:widowControl w:val="false"/>
        <w:tabs>
          <w:tab w:val="clear" w:pos="708"/>
          <w:tab w:val="left" w:pos="226" w:leader="none"/>
        </w:tabs>
        <w:rPr>
          <w:bCs/>
          <w:color w:val="000000"/>
          <w:lang w:val="uk-UA"/>
        </w:rPr>
      </w:pPr>
      <w:r>
        <w:rPr>
          <w:bCs/>
          <w:i/>
          <w:color w:val="000000"/>
          <w:sz w:val="22"/>
          <w:szCs w:val="22"/>
          <w:lang w:val="uk-UA"/>
        </w:rPr>
        <w:t xml:space="preserve">              </w:t>
      </w:r>
      <w:r>
        <w:rPr>
          <w:bCs/>
          <w:color w:val="000000"/>
          <w:lang w:val="uk-UA"/>
        </w:rPr>
        <w:t xml:space="preserve">      </w:t>
      </w:r>
    </w:p>
    <w:p>
      <w:pPr>
        <w:pStyle w:val="Normal"/>
        <w:widowControl w:val="false"/>
        <w:tabs>
          <w:tab w:val="clear" w:pos="708"/>
          <w:tab w:val="left" w:pos="0" w:leader="none"/>
        </w:tabs>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sz w:val="28"/>
          <w:szCs w:val="28"/>
          <w:lang w:val="uk-UA"/>
        </w:rPr>
        <w:t xml:space="preserve">3. </w:t>
      </w:r>
      <w:r>
        <w:rPr>
          <w:rFonts w:cs="Times New Roman"/>
          <w:b/>
          <w:bCs/>
          <w:color w:val="000000"/>
          <w:sz w:val="28"/>
          <w:szCs w:val="28"/>
          <w:lang w:val="uk-UA"/>
        </w:rPr>
        <w:t>Розгляд та затвердження звіту реві</w:t>
      </w:r>
      <w:bookmarkStart w:id="0" w:name="_GoBack1"/>
      <w:bookmarkEnd w:id="0"/>
      <w:r>
        <w:rPr>
          <w:rFonts w:cs="Times New Roman"/>
          <w:b/>
          <w:bCs/>
          <w:color w:val="000000"/>
          <w:sz w:val="28"/>
          <w:szCs w:val="28"/>
          <w:lang w:val="uk-UA"/>
        </w:rPr>
        <w:t>зійної комісії Товариства за 2019 рік.</w:t>
      </w:r>
    </w:p>
    <w:p>
      <w:pPr>
        <w:pStyle w:val="Normal"/>
        <w:rPr>
          <w:bCs/>
          <w:i/>
          <w:i/>
          <w:iCs/>
          <w:color w:val="000000"/>
          <w:sz w:val="28"/>
          <w:szCs w:val="28"/>
          <w:lang w:val="uk-UA"/>
        </w:rPr>
      </w:pPr>
      <w:r>
        <w:rPr>
          <w:bCs/>
          <w:i/>
          <w:iCs/>
          <w:color w:val="000000"/>
          <w:sz w:val="28"/>
          <w:szCs w:val="28"/>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Standard"/>
        <w:tabs>
          <w:tab w:val="clear" w:pos="708"/>
          <w:tab w:val="left" w:pos="851" w:leader="none"/>
        </w:tabs>
        <w:ind w:firstLine="567"/>
        <w:jc w:val="both"/>
        <w:rPr/>
      </w:pPr>
      <w:r>
        <w:rPr>
          <w:rStyle w:val="Style13"/>
          <w:rFonts w:cs="Times New Roman"/>
          <w:b w:val="false"/>
          <w:bCs w:val="false"/>
          <w:color w:val="000000"/>
          <w:sz w:val="28"/>
          <w:szCs w:val="28"/>
          <w:u w:val="none"/>
          <w:lang w:val="uk-UA"/>
        </w:rPr>
        <w:t>Затвердити звіт ревізійної комісії Товариства за 2019 рік.</w:t>
      </w:r>
    </w:p>
    <w:p>
      <w:pPr>
        <w:pStyle w:val="Normal"/>
        <w:ind w:firstLine="567"/>
        <w:jc w:val="both"/>
        <w:rPr>
          <w:sz w:val="28"/>
          <w:szCs w:val="28"/>
          <w:lang w:val="uk-UA"/>
        </w:rPr>
      </w:pPr>
      <w:r>
        <w:rPr>
          <w:sz w:val="28"/>
          <w:szCs w:val="28"/>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widowControl w:val="false"/>
        <w:tabs>
          <w:tab w:val="clear" w:pos="708"/>
          <w:tab w:val="left" w:pos="90" w:leader="none"/>
        </w:tabs>
        <w:jc w:val="both"/>
        <w:rPr>
          <w:bCs/>
          <w:color w:val="000000"/>
          <w:lang w:val="uk-UA"/>
        </w:rPr>
      </w:pPr>
      <w:r>
        <w:rPr>
          <w:bCs/>
          <w:color w:val="000000"/>
          <w:lang w:val="uk-UA"/>
        </w:rPr>
      </w:r>
    </w:p>
    <w:p>
      <w:pPr>
        <w:pStyle w:val="Normal"/>
        <w:widowControl w:val="false"/>
        <w:tabs>
          <w:tab w:val="clear" w:pos="708"/>
          <w:tab w:val="left" w:pos="90" w:leader="none"/>
        </w:tabs>
        <w:jc w:val="both"/>
        <w:rPr>
          <w:bCs/>
          <w:color w:val="000000"/>
          <w:lang w:val="uk-UA"/>
        </w:rPr>
      </w:pPr>
      <w:r>
        <w:rPr>
          <w:bCs/>
          <w:color w:val="000000"/>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sz w:val="28"/>
          <w:szCs w:val="28"/>
          <w:lang w:val="uk-UA"/>
        </w:rPr>
        <w:t xml:space="preserve">4. </w:t>
      </w:r>
      <w:r>
        <w:rPr>
          <w:rFonts w:cs="Times New Roman"/>
          <w:b/>
          <w:bCs/>
          <w:color w:val="000000"/>
          <w:sz w:val="28"/>
          <w:szCs w:val="28"/>
          <w:lang w:val="uk-UA"/>
        </w:rPr>
        <w:t>Розгляд та затвердження річного звіту Товариства за 2019 рік.</w:t>
      </w:r>
    </w:p>
    <w:p>
      <w:pPr>
        <w:pStyle w:val="Normal"/>
        <w:jc w:val="both"/>
        <w:rPr>
          <w:bCs/>
          <w:sz w:val="20"/>
          <w:szCs w:val="20"/>
          <w:lang w:val="uk-UA"/>
        </w:rPr>
      </w:pPr>
      <w:r>
        <w:rPr>
          <w:bCs/>
          <w:sz w:val="20"/>
          <w:szCs w:val="20"/>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Standard"/>
        <w:tabs>
          <w:tab w:val="clear" w:pos="708"/>
          <w:tab w:val="left" w:pos="851" w:leader="none"/>
        </w:tabs>
        <w:ind w:firstLine="567"/>
        <w:jc w:val="both"/>
        <w:rPr/>
      </w:pPr>
      <w:r>
        <w:rPr>
          <w:rStyle w:val="Style13"/>
          <w:rFonts w:cs="Times New Roman"/>
          <w:b w:val="false"/>
          <w:bCs w:val="false"/>
          <w:sz w:val="28"/>
          <w:szCs w:val="28"/>
          <w:lang w:val="uk-UA"/>
        </w:rPr>
        <w:t>Затвердити річний звіт Товариства за 2019 рік.</w:t>
      </w:r>
    </w:p>
    <w:p>
      <w:pPr>
        <w:pStyle w:val="Normal"/>
        <w:ind w:firstLine="708"/>
        <w:jc w:val="both"/>
        <w:rPr>
          <w:sz w:val="28"/>
          <w:szCs w:val="28"/>
          <w:lang w:val="uk-UA"/>
        </w:rPr>
      </w:pPr>
      <w:r>
        <w:rPr>
          <w:sz w:val="28"/>
          <w:szCs w:val="28"/>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rPr>
          <w:bCs/>
          <w:i/>
          <w:i/>
          <w:iCs/>
          <w:color w:val="000000"/>
          <w:lang w:val="uk-UA"/>
        </w:rPr>
      </w:pPr>
      <w:r>
        <w:rPr>
          <w:bCs/>
          <w:i/>
          <w:iCs/>
          <w:color w:val="000000"/>
          <w:lang w:val="uk-UA"/>
        </w:rPr>
      </w:r>
    </w:p>
    <w:p>
      <w:pPr>
        <w:pStyle w:val="Normal"/>
        <w:rPr>
          <w:bCs/>
          <w:i/>
          <w:i/>
          <w:iCs/>
          <w:color w:val="000000"/>
          <w:lang w:val="uk-UA"/>
        </w:rPr>
      </w:pPr>
      <w:r>
        <w:rPr>
          <w:bCs/>
          <w:i/>
          <w:iCs/>
          <w:color w:val="000000"/>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sz w:val="28"/>
          <w:szCs w:val="28"/>
          <w:lang w:val="uk-UA"/>
        </w:rPr>
        <w:t xml:space="preserve">5. </w:t>
      </w:r>
      <w:r>
        <w:rPr>
          <w:rFonts w:cs="Times New Roman"/>
          <w:b/>
          <w:bCs/>
          <w:color w:val="000000"/>
          <w:sz w:val="28"/>
          <w:szCs w:val="28"/>
          <w:lang w:val="uk-UA"/>
        </w:rPr>
        <w:t>Розподіл прибутку і збитків Товариства за результатами діяльності у 2019 році.</w:t>
      </w:r>
    </w:p>
    <w:p>
      <w:pPr>
        <w:pStyle w:val="Normal"/>
        <w:ind w:firstLine="708"/>
        <w:jc w:val="both"/>
        <w:rPr>
          <w:sz w:val="22"/>
          <w:szCs w:val="22"/>
          <w:lang w:val="uk-UA"/>
        </w:rPr>
      </w:pPr>
      <w:r>
        <w:rPr>
          <w:sz w:val="22"/>
          <w:szCs w:val="22"/>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Standard"/>
        <w:tabs>
          <w:tab w:val="clear" w:pos="708"/>
          <w:tab w:val="left" w:pos="851" w:leader="none"/>
        </w:tabs>
        <w:ind w:firstLine="567"/>
        <w:jc w:val="both"/>
        <w:rPr>
          <w:sz w:val="28"/>
          <w:szCs w:val="28"/>
          <w:lang w:val="uk-UA"/>
        </w:rPr>
      </w:pPr>
      <w:r>
        <w:rPr>
          <w:rFonts w:cs="Times New Roman"/>
          <w:color w:val="000000"/>
          <w:sz w:val="28"/>
          <w:szCs w:val="28"/>
          <w:shd w:fill="FFFFFF" w:val="clear"/>
          <w:lang w:val="uk-UA"/>
        </w:rPr>
        <w:t xml:space="preserve">У зв’язку з відсутністю чистого прибутку дивіденди не нараховувати. </w:t>
      </w:r>
      <w:r>
        <w:rPr>
          <w:rFonts w:eastAsia="Andale Sans UI" w:cs="Times New Roman"/>
          <w:color w:val="000000"/>
          <w:kern w:val="2"/>
          <w:sz w:val="24"/>
          <w:szCs w:val="24"/>
          <w:lang w:val="ru-RU" w:eastAsia="ru-RU" w:bidi="ar-SA"/>
        </w:rPr>
        <w:t>З</w:t>
      </w:r>
      <w:r>
        <w:rPr>
          <w:rFonts w:cs="Times New Roman"/>
          <w:color w:val="000000"/>
          <w:sz w:val="28"/>
          <w:szCs w:val="28"/>
          <w:lang w:val="uk-UA"/>
        </w:rPr>
        <w:t>битк</w:t>
      </w:r>
      <w:r>
        <w:rPr>
          <w:rFonts w:cs="Times New Roman"/>
          <w:color w:val="000000"/>
          <w:sz w:val="28"/>
          <w:szCs w:val="28"/>
          <w:lang w:val="ru-RU"/>
        </w:rPr>
        <w:t>и</w:t>
      </w:r>
      <w:r>
        <w:rPr>
          <w:rFonts w:cs="Times New Roman"/>
          <w:color w:val="000000"/>
          <w:sz w:val="28"/>
          <w:szCs w:val="28"/>
          <w:lang w:val="uk-UA"/>
        </w:rPr>
        <w:t xml:space="preserve"> </w:t>
      </w:r>
      <w:r>
        <w:rPr>
          <w:rFonts w:cs="Times New Roman"/>
          <w:color w:val="000000"/>
          <w:sz w:val="28"/>
          <w:szCs w:val="28"/>
          <w:shd w:fill="FFFFFF" w:val="clear"/>
          <w:lang w:val="uk-UA"/>
        </w:rPr>
        <w:t xml:space="preserve">Товариства за 2019 рік </w:t>
      </w:r>
      <w:r>
        <w:rPr>
          <w:rFonts w:eastAsia="Andale Sans UI" w:cs="Times New Roman"/>
          <w:color w:val="000000"/>
          <w:kern w:val="2"/>
          <w:sz w:val="24"/>
          <w:szCs w:val="24"/>
          <w:shd w:fill="FFFFFF" w:val="clear"/>
          <w:lang w:val="ru-RU" w:eastAsia="ru-RU" w:bidi="ar-SA"/>
        </w:rPr>
        <w:t xml:space="preserve">покрити за рахунок </w:t>
      </w:r>
      <w:r>
        <w:rPr>
          <w:rFonts w:eastAsia="Andale Sans UI" w:cs="Times New Roman"/>
          <w:color w:val="000000"/>
          <w:kern w:val="2"/>
          <w:sz w:val="24"/>
          <w:szCs w:val="24"/>
          <w:shd w:fill="FFFFFF" w:val="clear"/>
          <w:lang w:val="uk-UA" w:eastAsia="ru-RU" w:bidi="ar-SA"/>
        </w:rPr>
        <w:t>прибутків майбутніх періодів</w:t>
      </w:r>
    </w:p>
    <w:p>
      <w:pPr>
        <w:pStyle w:val="Normal"/>
        <w:widowControl w:val="false"/>
        <w:tabs>
          <w:tab w:val="clear" w:pos="708"/>
          <w:tab w:val="left" w:pos="90" w:leader="none"/>
        </w:tabs>
        <w:jc w:val="both"/>
        <w:rPr>
          <w:bCs/>
          <w:color w:val="000000"/>
          <w:sz w:val="32"/>
          <w:szCs w:val="32"/>
          <w:lang w:val="uk-UA"/>
        </w:rPr>
      </w:pPr>
      <w:r>
        <w:rPr>
          <w:bCs/>
          <w:color w:val="000000"/>
          <w:sz w:val="32"/>
          <w:szCs w:val="32"/>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rPr>
          <w:bCs/>
          <w:i/>
          <w:i/>
          <w:iCs/>
          <w:color w:val="000000"/>
          <w:lang w:val="uk-UA"/>
        </w:rPr>
      </w:pPr>
      <w:r>
        <w:rPr>
          <w:bCs/>
          <w:i/>
          <w:iCs/>
          <w:color w:val="000000"/>
          <w:lang w:val="uk-UA"/>
        </w:rPr>
      </w:r>
    </w:p>
    <w:p>
      <w:pPr>
        <w:pStyle w:val="Normal"/>
        <w:rPr>
          <w:bCs/>
          <w:i/>
          <w:i/>
          <w:iCs/>
          <w:color w:val="000000"/>
          <w:lang w:val="uk-UA"/>
        </w:rPr>
      </w:pPr>
      <w:r>
        <w:rPr>
          <w:bCs/>
          <w:i/>
          <w:iCs/>
          <w:color w:val="000000"/>
          <w:lang w:val="uk-UA"/>
        </w:rPr>
      </w:r>
    </w:p>
    <w:p>
      <w:pPr>
        <w:pStyle w:val="Normal"/>
        <w:rPr>
          <w:bCs/>
          <w:i/>
          <w:i/>
          <w:iCs/>
          <w:color w:val="000000"/>
          <w:lang w:val="uk-UA"/>
        </w:rPr>
      </w:pPr>
      <w:r>
        <w:rPr>
          <w:bCs/>
          <w:i/>
          <w:iCs/>
          <w:color w:val="000000"/>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sz w:val="28"/>
          <w:szCs w:val="28"/>
          <w:lang w:val="uk-UA"/>
        </w:rPr>
        <w:t xml:space="preserve">6. </w:t>
      </w:r>
      <w:r>
        <w:rPr>
          <w:b/>
          <w:bCs/>
          <w:color w:val="000000"/>
          <w:sz w:val="28"/>
          <w:szCs w:val="28"/>
          <w:lang w:val="uk-UA"/>
        </w:rPr>
        <w:t>Припинення повноважень члена наглядової ради Товариства.</w:t>
      </w:r>
    </w:p>
    <w:p>
      <w:pPr>
        <w:pStyle w:val="Normal"/>
        <w:ind w:firstLine="567"/>
        <w:jc w:val="both"/>
        <w:rPr>
          <w:lang w:val="uk-UA"/>
        </w:rPr>
      </w:pPr>
      <w:r>
        <w:rPr>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Standard"/>
        <w:widowControl w:val="false"/>
        <w:tabs>
          <w:tab w:val="clear" w:pos="708"/>
          <w:tab w:val="left" w:pos="851" w:leader="none"/>
        </w:tabs>
        <w:overflowPunct w:val="true"/>
        <w:ind w:left="0" w:hanging="0"/>
        <w:jc w:val="both"/>
        <w:rPr>
          <w:sz w:val="28"/>
          <w:szCs w:val="28"/>
          <w:lang w:val="uk-UA"/>
        </w:rPr>
      </w:pPr>
      <w:r>
        <w:rPr>
          <w:rFonts w:cs="Times New Roman"/>
          <w:color w:val="000000"/>
          <w:sz w:val="28"/>
          <w:szCs w:val="28"/>
          <w:u w:val="none"/>
          <w:shd w:fill="auto" w:val="clear"/>
          <w:lang w:val="uk-UA"/>
        </w:rPr>
        <w:t xml:space="preserve">     </w:t>
      </w:r>
      <w:r>
        <w:rPr>
          <w:rFonts w:cs="Times New Roman"/>
          <w:color w:val="000000"/>
          <w:sz w:val="26"/>
          <w:szCs w:val="26"/>
          <w:u w:val="none"/>
          <w:shd w:fill="auto" w:val="clear"/>
          <w:lang w:val="uk-UA"/>
        </w:rPr>
        <w:t>Припинити повноваження члена наглядової ради від ТОВ “МАІС” Рибалкіна Михайла Петровича у зв’язку із поданою заявою, згідно п.16.3.8 розділу 16 Статуту Товариства</w:t>
      </w:r>
    </w:p>
    <w:p>
      <w:pPr>
        <w:pStyle w:val="Standard"/>
        <w:widowControl w:val="false"/>
        <w:tabs>
          <w:tab w:val="clear" w:pos="708"/>
          <w:tab w:val="left" w:pos="851" w:leader="none"/>
        </w:tabs>
        <w:overflowPunct w:val="true"/>
        <w:ind w:left="0" w:hanging="0"/>
        <w:jc w:val="both"/>
        <w:rPr>
          <w:rFonts w:cs="Times New Roman"/>
          <w:color w:val="000000"/>
          <w:u w:val="none"/>
        </w:rPr>
      </w:pPr>
      <w:r>
        <w:rPr>
          <w:rFonts w:cs="Times New Roman"/>
          <w:color w:val="000000"/>
          <w:u w:val="none"/>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lang w:val="uk-UA"/>
              </w:rPr>
            </w:pPr>
            <w:r>
              <w:rPr>
                <w:bCs/>
                <w:lang w:val="uk-UA"/>
              </w:rPr>
            </w:r>
          </w:p>
          <w:p>
            <w:pPr>
              <w:pStyle w:val="Normal"/>
              <w:jc w:val="both"/>
              <w:rPr>
                <w:bCs/>
                <w:lang w:val="uk-UA"/>
              </w:rPr>
            </w:pPr>
            <w:r>
              <w:rPr>
                <w:bCs/>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lang w:val="uk-UA"/>
              </w:rPr>
            </w:pPr>
            <w:r>
              <w:rPr>
                <w:bCs/>
                <w:color w:val="000000"/>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lang w:val="uk-UA"/>
              </w:rPr>
            </w:pPr>
            <w:r>
              <w:rPr>
                <w:bCs/>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lang w:val="uk-UA"/>
              </w:rPr>
            </w:pPr>
            <w:r>
              <w:rPr>
                <w:bCs/>
                <w:color w:val="000000"/>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lang w:val="uk-UA"/>
              </w:rPr>
            </w:pPr>
            <w:r>
              <w:rPr>
                <w:bCs/>
                <w:lang w:val="uk-UA"/>
              </w:rPr>
            </w:r>
          </w:p>
        </w:tc>
        <w:tc>
          <w:tcPr>
            <w:tcW w:w="2376" w:type="dxa"/>
            <w:tcBorders>
              <w:left w:val="single" w:sz="4" w:space="0" w:color="000000"/>
            </w:tcBorders>
            <w:shd w:color="auto" w:fill="auto" w:val="clear"/>
            <w:vAlign w:val="center"/>
          </w:tcPr>
          <w:p>
            <w:pPr>
              <w:pStyle w:val="Normal"/>
              <w:jc w:val="both"/>
              <w:rPr>
                <w:bCs/>
                <w:color w:val="000000"/>
                <w:lang w:val="uk-UA"/>
              </w:rPr>
            </w:pPr>
            <w:r>
              <w:rPr>
                <w:bCs/>
                <w:color w:val="000000"/>
                <w:lang w:val="uk-UA"/>
              </w:rPr>
              <w:t>УТРИМАВСЯ</w:t>
            </w:r>
          </w:p>
        </w:tc>
      </w:tr>
    </w:tbl>
    <w:p>
      <w:pPr>
        <w:pStyle w:val="Normal"/>
        <w:rPr>
          <w:lang w:val="uk-UA"/>
        </w:rPr>
      </w:pPr>
      <w:r>
        <w:rPr>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b/>
          <w:bCs/>
          <w:sz w:val="28"/>
          <w:szCs w:val="28"/>
          <w:lang w:val="uk-UA"/>
        </w:rPr>
        <w:t>8</w:t>
      </w:r>
      <w:r>
        <w:rPr>
          <w:b/>
          <w:bCs/>
          <w:sz w:val="28"/>
          <w:szCs w:val="28"/>
          <w:lang w:val="uk-UA"/>
        </w:rPr>
        <w:t>.</w:t>
      </w:r>
      <w:r>
        <w:rPr>
          <w:sz w:val="28"/>
          <w:szCs w:val="28"/>
          <w:lang w:val="uk-UA"/>
        </w:rPr>
        <w:t xml:space="preserve"> </w:t>
      </w:r>
      <w:r>
        <w:rPr>
          <w:rFonts w:eastAsia="Times New Roman CYR" w:cs="Times New Roman"/>
          <w:b/>
          <w:bCs/>
          <w:color w:val="000000"/>
          <w:sz w:val="28"/>
          <w:szCs w:val="28"/>
          <w:lang w:val="uk-UA"/>
        </w:rPr>
        <w:t xml:space="preserve">Про надання дозволу Голові правління Товариства на укладення довгострокових договорів оренди земельних ділянок, на яких на праві приватної власності розташовані об’єкти нерухомості ТДВ «ОЛВІН-САД» </w:t>
      </w:r>
      <w:r>
        <w:rPr>
          <w:rFonts w:cs="Times New Roman"/>
          <w:b/>
          <w:bCs/>
          <w:color w:val="000000"/>
          <w:sz w:val="28"/>
          <w:szCs w:val="28"/>
          <w:lang w:val="uk-UA"/>
        </w:rPr>
        <w:t xml:space="preserve">(код за ЄДРПОУ: 30814834) </w:t>
      </w:r>
      <w:r>
        <w:rPr>
          <w:rFonts w:eastAsia="Times New Roman CYR" w:cs="Times New Roman"/>
          <w:b/>
          <w:bCs/>
          <w:color w:val="000000"/>
          <w:sz w:val="28"/>
          <w:szCs w:val="28"/>
          <w:lang w:val="uk-UA"/>
        </w:rPr>
        <w:t xml:space="preserve">та ТОВ «ФЕС+» </w:t>
      </w:r>
      <w:r>
        <w:rPr>
          <w:rFonts w:cs="Times New Roman"/>
          <w:b/>
          <w:bCs/>
          <w:color w:val="000000"/>
          <w:sz w:val="28"/>
          <w:szCs w:val="28"/>
          <w:lang w:val="uk-UA"/>
        </w:rPr>
        <w:t>(код за ЄДРПОУ: 41784100)</w:t>
      </w:r>
      <w:r>
        <w:rPr>
          <w:rFonts w:eastAsia="Times New Roman CYR" w:cs="Times New Roman"/>
          <w:b/>
          <w:bCs/>
          <w:color w:val="000000"/>
          <w:sz w:val="28"/>
          <w:szCs w:val="28"/>
          <w:lang w:val="uk-UA"/>
        </w:rPr>
        <w:t>.</w:t>
      </w:r>
    </w:p>
    <w:p>
      <w:pPr>
        <w:pStyle w:val="Normal"/>
        <w:ind w:firstLine="708"/>
        <w:jc w:val="both"/>
        <w:rPr>
          <w:bCs/>
          <w:sz w:val="18"/>
          <w:szCs w:val="18"/>
          <w:lang w:val="uk-UA"/>
        </w:rPr>
      </w:pPr>
      <w:r>
        <w:rPr>
          <w:bCs/>
          <w:sz w:val="18"/>
          <w:szCs w:val="18"/>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Надати Голові правління Товариства згоду (дозвіл) на вчинення </w:t>
      </w:r>
      <w:r>
        <w:rPr>
          <w:rFonts w:cs="Times New Roman"/>
          <w:color w:val="000000"/>
          <w:sz w:val="26"/>
          <w:szCs w:val="26"/>
          <w:shd w:fill="auto" w:val="clear"/>
          <w:lang w:val="uk-UA"/>
        </w:rPr>
        <w:t>значного правочину (значних правочинів</w:t>
      </w:r>
      <w:r>
        <w:rPr>
          <w:rFonts w:cs="Times New Roman"/>
          <w:color w:val="000000"/>
          <w:sz w:val="26"/>
          <w:szCs w:val="26"/>
          <w:lang w:val="uk-UA"/>
        </w:rPr>
        <w:t xml:space="preserve">) </w:t>
      </w:r>
      <w:r>
        <w:rPr>
          <w:rFonts w:cs="Times New Roman"/>
          <w:color w:val="FF0000"/>
          <w:sz w:val="26"/>
          <w:szCs w:val="26"/>
          <w:lang w:val="uk-UA"/>
        </w:rPr>
        <w:t xml:space="preserve"> </w:t>
      </w:r>
      <w:r>
        <w:rPr>
          <w:rFonts w:cs="Times New Roman"/>
          <w:color w:val="000000"/>
          <w:sz w:val="26"/>
          <w:szCs w:val="26"/>
          <w:lang w:val="uk-UA"/>
        </w:rPr>
        <w:t>та правочину (правочинів) із заінтересованістю, а саме на укладення договорів про передачу в довгострокову</w:t>
      </w:r>
      <w:r>
        <w:rPr>
          <w:rFonts w:cs="Times New Roman"/>
          <w:color w:val="0070C0"/>
          <w:sz w:val="26"/>
          <w:szCs w:val="26"/>
          <w:lang w:val="uk-UA"/>
        </w:rPr>
        <w:t xml:space="preserve"> </w:t>
      </w:r>
      <w:r>
        <w:rPr>
          <w:rFonts w:cs="Times New Roman"/>
          <w:color w:val="000000"/>
          <w:sz w:val="26"/>
          <w:szCs w:val="26"/>
          <w:lang w:val="uk-UA"/>
        </w:rPr>
        <w:t>оренду ТОВАРИСТВУ З ДОДАТКОВОЮ ВІДПОВІДАЛЬНІСТЮ «ОЛВІН-САД» (код за ЄДРПОУ: 30814834) земельних ділянок під об’єктами нерухомості, які  належать на праві приватної власності ТОВАРИСТВУ З ДОДАТКОВОЮ ВІДПОВІДАЛЬНІСТЮ «ОЛВІН-САД» (код за ЄДРПОУ: 30814834) та розташовані в Київській області, Згурівський район, Новоолександрівська сільська рада а саме:</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32221984200:05:012:0001,</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32221984201:01:006:0005.</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Надати Голові правління ПРАТ «НОВООЛЕКСАНДРІВСЬКЕ» згоду (дозвіл) на вчинення </w:t>
      </w:r>
      <w:r>
        <w:rPr>
          <w:rFonts w:cs="Times New Roman"/>
          <w:color w:val="000000"/>
          <w:sz w:val="26"/>
          <w:szCs w:val="26"/>
          <w:shd w:fill="auto" w:val="clear"/>
          <w:lang w:val="uk-UA"/>
        </w:rPr>
        <w:t>значного правочину (значних правочинів)</w:t>
      </w:r>
      <w:r>
        <w:rPr>
          <w:rFonts w:cs="Times New Roman"/>
          <w:color w:val="000000"/>
          <w:sz w:val="26"/>
          <w:szCs w:val="26"/>
          <w:lang w:val="uk-UA"/>
        </w:rPr>
        <w:t xml:space="preserve"> (це значні правочини?) та правочину (правочинів) із заінтересованістю, а саме на укладення договорів про передачу в довгострокову</w:t>
      </w:r>
      <w:r>
        <w:rPr>
          <w:rFonts w:cs="Times New Roman"/>
          <w:color w:val="0070C0"/>
          <w:sz w:val="26"/>
          <w:szCs w:val="26"/>
          <w:lang w:val="uk-UA"/>
        </w:rPr>
        <w:t xml:space="preserve"> </w:t>
      </w:r>
      <w:r>
        <w:rPr>
          <w:rFonts w:cs="Times New Roman"/>
          <w:color w:val="000000"/>
          <w:sz w:val="26"/>
          <w:szCs w:val="26"/>
          <w:lang w:val="uk-UA"/>
        </w:rPr>
        <w:t>оренду ТОВАРИСТВУ З ОБМЕЖЕНОЮ ВІДПОВІДАЛЬНІСТЮ «ФЕС+» (код за ЄДРПОУ: 41784100) земельних ділянок під об’єктами нерухомості, які належать на праві приватної власності ТОВАРИСТВУ З ДОДАТКОВОЮ ВІДПОВІДАЛЬНІСТЮ «ФЕС+» (код за ЄДРПОУ: 41784100 розташовані в Київській області, Згурівський район, Новоолександрівська сільська рада  а саме:</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32221984200:05:012:0005,</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3221984200:04:011:0004,</w:t>
      </w:r>
    </w:p>
    <w:p>
      <w:pPr>
        <w:pStyle w:val="Standard"/>
        <w:tabs>
          <w:tab w:val="clear" w:pos="708"/>
          <w:tab w:val="left" w:pos="851" w:leader="none"/>
        </w:tabs>
        <w:ind w:hanging="0"/>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3221984201:01:006:0004,</w:t>
      </w:r>
    </w:p>
    <w:p>
      <w:pPr>
        <w:pStyle w:val="Standard"/>
        <w:tabs>
          <w:tab w:val="clear" w:pos="708"/>
          <w:tab w:val="left" w:pos="851" w:leader="none"/>
        </w:tabs>
        <w:ind w:hanging="0"/>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3221984200:04:011:0003,</w:t>
      </w:r>
    </w:p>
    <w:p>
      <w:pPr>
        <w:pStyle w:val="Standard"/>
        <w:tabs>
          <w:tab w:val="clear" w:pos="708"/>
          <w:tab w:val="left" w:pos="851" w:leader="none"/>
        </w:tabs>
        <w:ind w:firstLine="567"/>
        <w:jc w:val="both"/>
        <w:rPr>
          <w:sz w:val="26"/>
          <w:szCs w:val="26"/>
        </w:rPr>
      </w:pPr>
      <w:r>
        <w:rPr>
          <w:rFonts w:cs="Times New Roman"/>
          <w:color w:val="000000"/>
          <w:sz w:val="26"/>
          <w:szCs w:val="26"/>
          <w:lang w:val="uk-UA"/>
        </w:rPr>
        <w:t xml:space="preserve">     </w:t>
      </w:r>
      <w:r>
        <w:rPr>
          <w:rFonts w:cs="Times New Roman"/>
          <w:color w:val="000000"/>
          <w:sz w:val="26"/>
          <w:szCs w:val="26"/>
          <w:lang w:val="uk-UA"/>
        </w:rPr>
        <w:t>-       земельну ділянку з кадастровим номером 3221984200:04:011:0005.</w:t>
      </w:r>
    </w:p>
    <w:p>
      <w:pPr>
        <w:pStyle w:val="Standard"/>
        <w:numPr>
          <w:ilvl w:val="0"/>
          <w:numId w:val="0"/>
        </w:numPr>
        <w:tabs>
          <w:tab w:val="clear" w:pos="708"/>
          <w:tab w:val="left" w:pos="851" w:leader="none"/>
        </w:tabs>
        <w:suppressAutoHyphens w:val="false"/>
        <w:ind w:left="0" w:hanging="0"/>
        <w:jc w:val="both"/>
        <w:rPr>
          <w:sz w:val="28"/>
          <w:szCs w:val="28"/>
        </w:rPr>
      </w:pPr>
      <w:r>
        <w:rPr>
          <w:rFonts w:cs="Times New Roman"/>
          <w:sz w:val="26"/>
          <w:szCs w:val="26"/>
          <w:lang w:val="uk-UA"/>
        </w:rPr>
        <w:t xml:space="preserve">     </w:t>
      </w:r>
      <w:r>
        <w:rPr>
          <w:rFonts w:cs="Times New Roman"/>
          <w:sz w:val="26"/>
          <w:szCs w:val="26"/>
          <w:lang w:val="uk-UA"/>
        </w:rPr>
        <w:t>Уповноважити Голову правління ПРАТ (або особу, яка тимчасово виконує його</w:t>
      </w:r>
      <w:r>
        <w:rPr>
          <w:rFonts w:cs="Times New Roman"/>
          <w:sz w:val="28"/>
          <w:szCs w:val="28"/>
          <w:lang w:val="uk-UA"/>
        </w:rPr>
        <w:t xml:space="preserve"> </w:t>
      </w:r>
      <w:r>
        <w:rPr>
          <w:rFonts w:cs="Times New Roman"/>
          <w:sz w:val="26"/>
          <w:szCs w:val="26"/>
          <w:lang w:val="uk-UA"/>
        </w:rPr>
        <w:t xml:space="preserve">обов’язки) на підписання договорів оренди земельних ділянок, зазначених у цьому пункті із </w:t>
      </w:r>
      <w:r>
        <w:rPr>
          <w:rFonts w:eastAsia="Times New Roman CYR" w:cs="Times New Roman"/>
          <w:sz w:val="26"/>
          <w:szCs w:val="26"/>
          <w:lang w:val="uk-UA"/>
        </w:rPr>
        <w:t xml:space="preserve">ТДВ «ОЛВІН-САД» </w:t>
      </w:r>
      <w:r>
        <w:rPr>
          <w:rFonts w:cs="Times New Roman"/>
          <w:sz w:val="26"/>
          <w:szCs w:val="26"/>
          <w:lang w:val="uk-UA"/>
        </w:rPr>
        <w:t xml:space="preserve">(код за ЄДРПОУ: 30814834) </w:t>
      </w:r>
      <w:r>
        <w:rPr>
          <w:rFonts w:eastAsia="Times New Roman CYR" w:cs="Times New Roman"/>
          <w:sz w:val="26"/>
          <w:szCs w:val="26"/>
          <w:lang w:val="uk-UA"/>
        </w:rPr>
        <w:t xml:space="preserve"> та ТОВ «ФЕС+» </w:t>
      </w:r>
      <w:r>
        <w:rPr>
          <w:rFonts w:cs="Times New Roman"/>
          <w:sz w:val="26"/>
          <w:szCs w:val="26"/>
          <w:lang w:val="uk-UA"/>
        </w:rPr>
        <w:t xml:space="preserve">(код за ЄДРПОУ: 41784100). </w:t>
      </w:r>
    </w:p>
    <w:p>
      <w:pPr>
        <w:pStyle w:val="Normal"/>
        <w:widowControl w:val="false"/>
        <w:tabs>
          <w:tab w:val="clear" w:pos="708"/>
          <w:tab w:val="left" w:pos="90" w:leader="none"/>
        </w:tabs>
        <w:jc w:val="both"/>
        <w:rPr>
          <w:lang w:val="uk-UA"/>
        </w:rPr>
      </w:pPr>
      <w:r>
        <w:rPr>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widowControl w:val="false"/>
        <w:tabs>
          <w:tab w:val="clear" w:pos="708"/>
          <w:tab w:val="left" w:pos="226" w:leader="none"/>
        </w:tabs>
        <w:rPr>
          <w:bCs/>
          <w:color w:val="000000"/>
          <w:lang w:val="uk-UA"/>
        </w:rPr>
      </w:pPr>
      <w:r>
        <w:rPr>
          <w:bCs/>
          <w:color w:val="000000"/>
          <w:lang w:val="uk-UA"/>
        </w:rPr>
      </w:r>
    </w:p>
    <w:p>
      <w:pPr>
        <w:pStyle w:val="Normal"/>
        <w:widowControl w:val="false"/>
        <w:tabs>
          <w:tab w:val="clear" w:pos="708"/>
          <w:tab w:val="left" w:pos="226" w:leader="none"/>
        </w:tabs>
        <w:rPr>
          <w:bCs/>
          <w:color w:val="000000"/>
          <w:lang w:val="uk-UA"/>
        </w:rPr>
      </w:pPr>
      <w:r>
        <w:rPr>
          <w:bCs/>
          <w:color w:val="000000"/>
          <w:lang w:val="uk-UA"/>
        </w:rPr>
      </w:r>
    </w:p>
    <w:p>
      <w:pPr>
        <w:pStyle w:val="Normal"/>
        <w:widowControl w:val="false"/>
        <w:tabs>
          <w:tab w:val="clear" w:pos="708"/>
          <w:tab w:val="left" w:pos="226" w:leader="none"/>
        </w:tabs>
        <w:rPr>
          <w:bCs/>
          <w:color w:val="000000"/>
          <w:sz w:val="16"/>
          <w:szCs w:val="16"/>
          <w:lang w:val="uk-UA"/>
        </w:rPr>
      </w:pPr>
      <w:r>
        <w:rPr>
          <w:bCs/>
          <w:color w:val="000000"/>
          <w:sz w:val="16"/>
          <w:szCs w:val="16"/>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rFonts w:eastAsia="Times New Roman" w:cs="Times New Roman"/>
          <w:b/>
          <w:bCs/>
          <w:color w:val="auto"/>
          <w:kern w:val="0"/>
          <w:sz w:val="28"/>
          <w:szCs w:val="28"/>
          <w:lang w:val="uk-UA" w:eastAsia="ru-RU" w:bidi="ar-SA"/>
        </w:rPr>
        <w:t>9</w:t>
      </w:r>
      <w:r>
        <w:rPr>
          <w:b/>
          <w:bCs/>
          <w:sz w:val="28"/>
          <w:szCs w:val="28"/>
          <w:lang w:val="uk-UA"/>
        </w:rPr>
        <w:t>.</w:t>
      </w:r>
      <w:r>
        <w:rPr>
          <w:sz w:val="28"/>
          <w:szCs w:val="28"/>
          <w:lang w:val="uk-UA"/>
        </w:rPr>
        <w:t xml:space="preserve"> </w:t>
      </w:r>
      <w:r>
        <w:rPr>
          <w:rFonts w:eastAsia="Times New Roman CYR" w:cs="Times New Roman"/>
          <w:b/>
          <w:bCs/>
          <w:color w:val="000000"/>
          <w:sz w:val="28"/>
          <w:szCs w:val="28"/>
          <w:lang w:val="uk-UA"/>
        </w:rPr>
        <w:t>Про надання попередньої згоди на вчинення значних правочинів.</w:t>
      </w:r>
    </w:p>
    <w:p>
      <w:pPr>
        <w:pStyle w:val="Normal"/>
        <w:ind w:firstLine="567"/>
        <w:jc w:val="both"/>
        <w:rPr>
          <w:sz w:val="28"/>
          <w:szCs w:val="28"/>
          <w:lang w:val="uk-UA"/>
        </w:rPr>
      </w:pPr>
      <w:r>
        <w:rPr>
          <w:sz w:val="28"/>
          <w:szCs w:val="28"/>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Normal"/>
        <w:tabs>
          <w:tab w:val="clear" w:pos="708"/>
          <w:tab w:val="left" w:pos="851" w:leader="none"/>
        </w:tabs>
        <w:ind w:firstLine="567"/>
        <w:jc w:val="both"/>
        <w:rPr>
          <w:b w:val="false"/>
          <w:b w:val="false"/>
          <w:bCs w:val="false"/>
          <w:sz w:val="26"/>
          <w:szCs w:val="26"/>
        </w:rPr>
      </w:pPr>
      <w:r>
        <w:rPr>
          <w:rFonts w:cs="Times New Roman"/>
          <w:b w:val="false"/>
          <w:bCs w:val="false"/>
          <w:color w:val="000000"/>
          <w:sz w:val="26"/>
          <w:szCs w:val="26"/>
          <w:lang w:val="uk-UA"/>
        </w:rPr>
        <w:t>Надати попередню згоду на вчинення Товариством у ході його поточної господарської діяльності значних правочинів, які можуть вчинятись Товариством протягом не більше як одного року з дати прийняття такого рішення (з дня проведення цих Зборів), якщо ринкова вартість майна або послуг, що може бути предметом цих господарських правочинів перевищує 25 та 50 відсотків вартості активів Товариства за даними останньої фінансової звітності.</w:t>
      </w:r>
    </w:p>
    <w:p>
      <w:pPr>
        <w:pStyle w:val="Standard"/>
        <w:tabs>
          <w:tab w:val="clear" w:pos="708"/>
          <w:tab w:val="left" w:pos="851" w:leader="none"/>
        </w:tabs>
        <w:ind w:firstLine="567"/>
        <w:jc w:val="both"/>
        <w:rPr>
          <w:b w:val="false"/>
          <w:b w:val="false"/>
          <w:bCs w:val="false"/>
          <w:sz w:val="26"/>
          <w:szCs w:val="26"/>
        </w:rPr>
      </w:pPr>
      <w:r>
        <w:rPr>
          <w:rFonts w:cs="Times New Roman"/>
          <w:b w:val="false"/>
          <w:bCs w:val="false"/>
          <w:color w:val="000000"/>
          <w:sz w:val="26"/>
          <w:szCs w:val="26"/>
          <w:lang w:val="uk-UA"/>
        </w:rPr>
        <w:t>Уповноважити Голову правління Товариства (або особу, яка тимчасово виконує його обов’язки) на вчинення усіх необхідних дій щодо підписання (укладання) значних правочинів, які можуть вчинятись Товариством протягом не більше як одного року з дати прийняття такого рішення (з дня проведення цих Зборів), якщо ринкова вартість майна або послуг, що може бути предметом цих господарських правочинів перевищує 25 та 50 відсотків вартості активів Товариства за даними останньої фінансової звітності. Значні правочини, на вчинення яких попередньо надано згоду, вчиняються у відповідності до статуту Товариства та чинного законодавства України.</w:t>
      </w:r>
    </w:p>
    <w:p>
      <w:pPr>
        <w:pStyle w:val="Normal"/>
        <w:tabs>
          <w:tab w:val="clear" w:pos="708"/>
          <w:tab w:val="left" w:pos="0" w:leader="none"/>
        </w:tabs>
        <w:ind w:firstLine="567"/>
        <w:jc w:val="both"/>
        <w:rPr>
          <w:bCs/>
          <w:lang w:val="uk-UA"/>
        </w:rPr>
      </w:pPr>
      <w:r>
        <w:rPr>
          <w:bCs/>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rPr>
          <w:sz w:val="20"/>
          <w:szCs w:val="20"/>
          <w:lang w:val="uk-UA"/>
        </w:rPr>
      </w:pPr>
      <w:r>
        <w:rPr>
          <w:sz w:val="20"/>
          <w:szCs w:val="20"/>
          <w:lang w:val="uk-UA"/>
        </w:rPr>
      </w:r>
    </w:p>
    <w:p>
      <w:pPr>
        <w:pStyle w:val="Normal"/>
        <w:rPr>
          <w:lang w:val="uk-UA"/>
        </w:rPr>
      </w:pPr>
      <w:r>
        <w:rPr>
          <w:lang w:val="uk-UA"/>
        </w:rPr>
      </w:r>
    </w:p>
    <w:p>
      <w:pPr>
        <w:pStyle w:val="Normal"/>
        <w:rPr>
          <w:bCs/>
          <w:i/>
          <w:i/>
          <w:iCs/>
          <w:color w:val="000000"/>
          <w:lang w:val="uk-UA"/>
        </w:rPr>
      </w:pPr>
      <w:r>
        <w:rPr>
          <w:bCs/>
          <w:i/>
          <w:iCs/>
          <w:color w:val="000000"/>
          <w:lang w:val="uk-UA"/>
        </w:rPr>
        <w:t>Питання, винесене на голосування:</w:t>
      </w:r>
    </w:p>
    <w:p>
      <w:pPr>
        <w:pStyle w:val="Normal"/>
        <w:ind w:firstLine="567"/>
        <w:jc w:val="both"/>
        <w:rPr>
          <w:sz w:val="28"/>
          <w:szCs w:val="28"/>
          <w:lang w:val="uk-UA"/>
        </w:rPr>
      </w:pPr>
      <w:r>
        <w:rPr>
          <w:rFonts w:eastAsia="Times New Roman" w:cs="Times New Roman"/>
          <w:b/>
          <w:bCs/>
          <w:color w:val="auto"/>
          <w:kern w:val="0"/>
          <w:sz w:val="28"/>
          <w:szCs w:val="28"/>
          <w:lang w:val="uk-UA" w:eastAsia="ru-RU" w:bidi="ar-SA"/>
        </w:rPr>
        <w:t>10</w:t>
      </w:r>
      <w:r>
        <w:rPr>
          <w:b/>
          <w:bCs/>
          <w:sz w:val="28"/>
          <w:szCs w:val="28"/>
          <w:lang w:val="uk-UA"/>
        </w:rPr>
        <w:t xml:space="preserve">. </w:t>
      </w:r>
      <w:r>
        <w:rPr>
          <w:rFonts w:eastAsia="Times New Roman CYR" w:cs="Times New Roman"/>
          <w:b/>
          <w:bCs/>
          <w:color w:val="000000"/>
          <w:sz w:val="28"/>
          <w:szCs w:val="28"/>
          <w:lang w:val="uk-UA"/>
        </w:rPr>
        <w:t>Затвердження рішення Наглядової ради про створення ТОВ “Агроліс 2000” (код  ЄДРПОУ: 43746004).</w:t>
      </w:r>
    </w:p>
    <w:p>
      <w:pPr>
        <w:pStyle w:val="Normal"/>
        <w:ind w:firstLine="567"/>
        <w:jc w:val="both"/>
        <w:rPr>
          <w:sz w:val="28"/>
          <w:szCs w:val="28"/>
          <w:lang w:val="uk-UA"/>
        </w:rPr>
      </w:pPr>
      <w:r>
        <w:rPr>
          <w:sz w:val="28"/>
          <w:szCs w:val="28"/>
          <w:lang w:val="uk-UA"/>
        </w:rPr>
      </w:r>
    </w:p>
    <w:p>
      <w:pPr>
        <w:pStyle w:val="Normal"/>
        <w:rPr>
          <w:lang w:val="uk-UA"/>
        </w:rPr>
      </w:pPr>
      <w:r>
        <w:rPr>
          <w:bCs/>
          <w:i/>
          <w:iCs/>
          <w:color w:val="000000"/>
          <w:lang w:val="uk-UA"/>
        </w:rPr>
        <w:t>Проект</w:t>
      </w:r>
      <w:r>
        <w:rPr>
          <w:bCs/>
          <w:i/>
          <w:iCs/>
          <w:color w:val="000000"/>
          <w:sz w:val="26"/>
          <w:szCs w:val="26"/>
          <w:lang w:val="uk-UA"/>
        </w:rPr>
        <w:t xml:space="preserve"> </w:t>
      </w:r>
      <w:r>
        <w:rPr>
          <w:bCs/>
          <w:i/>
          <w:iCs/>
          <w:color w:val="000000"/>
          <w:lang w:val="uk-UA"/>
        </w:rPr>
        <w:t>рішення з питання, включеного до порядку денного загальних зборів:</w:t>
      </w:r>
    </w:p>
    <w:p>
      <w:pPr>
        <w:pStyle w:val="Normal"/>
        <w:tabs>
          <w:tab w:val="clear" w:pos="708"/>
          <w:tab w:val="left" w:pos="851" w:leader="none"/>
        </w:tabs>
        <w:ind w:firstLine="567"/>
        <w:jc w:val="both"/>
        <w:rPr>
          <w:b w:val="false"/>
          <w:b w:val="false"/>
          <w:bCs w:val="false"/>
          <w:sz w:val="28"/>
          <w:szCs w:val="28"/>
          <w:lang w:val="uk-UA"/>
        </w:rPr>
      </w:pPr>
      <w:r>
        <w:rPr>
          <w:rFonts w:eastAsia="Times New Roman CYR" w:cs="Times New Roman"/>
          <w:b w:val="false"/>
          <w:bCs w:val="false"/>
          <w:color w:val="000000"/>
          <w:sz w:val="28"/>
          <w:szCs w:val="28"/>
          <w:lang w:val="uk-UA"/>
        </w:rPr>
        <w:t>Затвердити рішення Наглядової ради ПрАТ “Новоолександрівське” (протокол № 21/07 від 30 липня 2020 року) про створення ТОВ “Агроліс 2000” (код  ЄДРПОУ: 43746004).</w:t>
      </w:r>
    </w:p>
    <w:p>
      <w:pPr>
        <w:pStyle w:val="Normal"/>
        <w:tabs>
          <w:tab w:val="clear" w:pos="708"/>
          <w:tab w:val="left" w:pos="0" w:leader="none"/>
        </w:tabs>
        <w:ind w:firstLine="567"/>
        <w:jc w:val="both"/>
        <w:rPr>
          <w:bCs/>
          <w:lang w:val="uk-UA"/>
        </w:rPr>
      </w:pPr>
      <w:r>
        <w:rPr>
          <w:bCs/>
          <w:lang w:val="uk-UA"/>
        </w:rPr>
      </w:r>
    </w:p>
    <w:tbl>
      <w:tblPr>
        <w:tblW w:w="8471" w:type="dxa"/>
        <w:jc w:val="left"/>
        <w:tblInd w:w="846" w:type="dxa"/>
        <w:tblCellMar>
          <w:top w:w="0" w:type="dxa"/>
          <w:left w:w="108" w:type="dxa"/>
          <w:bottom w:w="0" w:type="dxa"/>
          <w:right w:w="108" w:type="dxa"/>
        </w:tblCellMar>
        <w:tblLook w:firstRow="1" w:noVBand="0" w:lastRow="0" w:firstColumn="1" w:lastColumn="0" w:noHBand="0" w:val="00a0"/>
      </w:tblPr>
      <w:tblGrid>
        <w:gridCol w:w="703"/>
        <w:gridCol w:w="1933"/>
        <w:gridCol w:w="760"/>
        <w:gridCol w:w="1945"/>
        <w:gridCol w:w="753"/>
        <w:gridCol w:w="2376"/>
      </w:tblGrid>
      <w:tr>
        <w:trPr/>
        <w:tc>
          <w:tcPr>
            <w:tcW w:w="7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tc>
        <w:tc>
          <w:tcPr>
            <w:tcW w:w="1933"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ЗА</w:t>
            </w:r>
          </w:p>
        </w:tc>
        <w:tc>
          <w:tcPr>
            <w:tcW w:w="7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1945" w:type="dxa"/>
            <w:tcBorders>
              <w:left w:val="single" w:sz="4" w:space="0" w:color="000000"/>
              <w:righ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ПРОТИ</w:t>
            </w:r>
          </w:p>
        </w:tc>
        <w:tc>
          <w:tcPr>
            <w:tcW w:w="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bCs/>
                <w:sz w:val="28"/>
                <w:szCs w:val="28"/>
                <w:lang w:val="uk-UA"/>
              </w:rPr>
            </w:pPr>
            <w:r>
              <w:rPr>
                <w:bCs/>
                <w:sz w:val="28"/>
                <w:szCs w:val="28"/>
                <w:lang w:val="uk-UA"/>
              </w:rPr>
            </w:r>
          </w:p>
        </w:tc>
        <w:tc>
          <w:tcPr>
            <w:tcW w:w="2376" w:type="dxa"/>
            <w:tcBorders>
              <w:left w:val="single" w:sz="4" w:space="0" w:color="000000"/>
            </w:tcBorders>
            <w:shd w:color="auto" w:fill="auto" w:val="clear"/>
            <w:vAlign w:val="center"/>
          </w:tcPr>
          <w:p>
            <w:pPr>
              <w:pStyle w:val="Normal"/>
              <w:jc w:val="both"/>
              <w:rPr>
                <w:bCs/>
                <w:sz w:val="28"/>
                <w:szCs w:val="28"/>
                <w:lang w:val="uk-UA"/>
              </w:rPr>
            </w:pPr>
            <w:r>
              <w:rPr>
                <w:bCs/>
                <w:color w:val="000000"/>
                <w:sz w:val="26"/>
                <w:szCs w:val="26"/>
                <w:lang w:val="uk-UA"/>
              </w:rPr>
              <w:t>УТРИМАВСЯ</w:t>
            </w:r>
          </w:p>
        </w:tc>
      </w:tr>
    </w:tbl>
    <w:p>
      <w:pPr>
        <w:pStyle w:val="Normal"/>
        <w:tabs>
          <w:tab w:val="clear" w:pos="708"/>
          <w:tab w:val="left" w:pos="851" w:leader="none"/>
        </w:tabs>
        <w:ind w:firstLine="567"/>
        <w:jc w:val="both"/>
        <w:rPr>
          <w:sz w:val="20"/>
          <w:szCs w:val="20"/>
          <w:lang w:val="uk-UA"/>
        </w:rPr>
      </w:pPr>
      <w:r>
        <w:rPr>
          <w:sz w:val="20"/>
          <w:szCs w:val="20"/>
          <w:lang w:val="uk-UA"/>
        </w:rPr>
      </w:r>
    </w:p>
    <w:p>
      <w:pPr>
        <w:pStyle w:val="Normal"/>
        <w:widowControl w:val="false"/>
        <w:tabs>
          <w:tab w:val="clear" w:pos="708"/>
          <w:tab w:val="left" w:pos="225" w:leader="none"/>
        </w:tabs>
        <w:spacing w:before="91" w:after="0"/>
        <w:jc w:val="both"/>
        <w:rPr>
          <w:bCs/>
          <w:i/>
          <w:i/>
          <w:color w:val="000000"/>
          <w:lang w:val="uk-UA"/>
        </w:rPr>
      </w:pPr>
      <w:r>
        <w:rPr>
          <w:bCs/>
          <w:i/>
          <w:color w:val="000000"/>
          <w:lang w:val="uk-UA"/>
        </w:rPr>
      </w:r>
    </w:p>
    <w:p>
      <w:pPr>
        <w:pStyle w:val="Normal"/>
        <w:widowControl w:val="false"/>
        <w:tabs>
          <w:tab w:val="clear" w:pos="708"/>
          <w:tab w:val="left" w:pos="225" w:leader="none"/>
        </w:tabs>
        <w:spacing w:before="91" w:after="0"/>
        <w:jc w:val="both"/>
        <w:rPr>
          <w:bCs/>
          <w:i/>
          <w:i/>
          <w:color w:val="000000"/>
          <w:lang w:val="uk-UA"/>
        </w:rPr>
      </w:pPr>
      <w:r>
        <w:rPr>
          <w:bCs/>
          <w:i/>
          <w:color w:val="000000"/>
          <w:lang w:val="uk-UA"/>
        </w:rPr>
        <w:t xml:space="preserve">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 </w:t>
      </w:r>
    </w:p>
    <w:p>
      <w:pPr>
        <w:pStyle w:val="Normal"/>
        <w:widowControl w:val="false"/>
        <w:tabs>
          <w:tab w:val="clear" w:pos="708"/>
          <w:tab w:val="left" w:pos="226" w:leader="none"/>
        </w:tabs>
        <w:jc w:val="both"/>
        <w:rPr>
          <w:bCs/>
          <w:i/>
          <w:i/>
          <w:color w:val="000000"/>
          <w:lang w:val="uk-UA"/>
        </w:rPr>
      </w:pPr>
      <w:r>
        <w:rPr>
          <w:bCs/>
          <w:i/>
          <w:color w:val="000000"/>
          <w:lang w:val="uk-UA"/>
        </w:rPr>
        <w:t xml:space="preserve">Увага! </w:t>
      </w:r>
    </w:p>
    <w:p>
      <w:pPr>
        <w:pStyle w:val="Normal"/>
        <w:widowControl w:val="false"/>
        <w:tabs>
          <w:tab w:val="clear" w:pos="708"/>
          <w:tab w:val="left" w:pos="226" w:leader="none"/>
        </w:tabs>
        <w:jc w:val="both"/>
        <w:rPr>
          <w:sz w:val="28"/>
          <w:szCs w:val="28"/>
          <w:lang w:val="uk-UA"/>
        </w:rPr>
      </w:pPr>
      <w:r>
        <w:rPr>
          <w:bCs/>
          <w:i/>
          <w:color w:val="000000"/>
          <w:lang w:val="uk-UA"/>
        </w:rPr>
        <w:t>Кожен аркуш бюлетеня повинен бути підписаний акціонером (представником акціонера) (крім випадку засвідчення бюлетеня кваліфікованим електронним підписом акціонера (його представника).</w:t>
      </w:r>
    </w:p>
    <w:sectPr>
      <w:footerReference w:type="default" r:id="rId2"/>
      <w:type w:val="nextPage"/>
      <w:pgSz w:w="11906" w:h="16838"/>
      <w:pgMar w:left="1418" w:right="567" w:header="0" w:top="567" w:footer="567" w:bottom="62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Segoe UI">
    <w:charset w:val="cc"/>
    <w:family w:val="roman"/>
    <w:pitch w:val="variable"/>
  </w:font>
  <w:font w:name="Liberation Sans">
    <w:altName w:val="Arial"/>
    <w:charset w:val="cc"/>
    <w:family w:val="roman"/>
    <w:pitch w:val="variable"/>
  </w:font>
  <w:font w:name="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1085245"/>
    </w:sdtPr>
    <w:sdtContent>
      <w:p>
        <w:pPr>
          <w:pStyle w:val="Style21"/>
          <w:jc w:val="right"/>
          <w:rPr/>
        </w:pPr>
        <w:r>
          <w:rPr/>
          <w:fldChar w:fldCharType="begin"/>
        </w:r>
        <w:r>
          <w:rPr/>
          <w:instrText> PAGE </w:instrText>
        </w:r>
        <w:r>
          <w:rPr/>
          <w:fldChar w:fldCharType="separate"/>
        </w:r>
        <w:r>
          <w:rPr/>
          <w:t>4</w:t>
        </w:r>
        <w:r>
          <w:rPr/>
          <w:fldChar w:fldCharType="end"/>
        </w:r>
      </w:p>
    </w:sdtContent>
  </w:sdt>
  <w:p>
    <w:pPr>
      <w:pStyle w:val="Normal"/>
      <w:widowControl w:val="false"/>
      <w:tabs>
        <w:tab w:val="clear" w:pos="708"/>
        <w:tab w:val="left" w:pos="226" w:leader="none"/>
      </w:tabs>
      <w:jc w:val="right"/>
      <w:rPr>
        <w:b/>
        <w:b/>
        <w:bCs/>
        <w:color w:val="000000"/>
        <w:sz w:val="28"/>
        <w:szCs w:val="28"/>
        <w:lang w:val="uk-UA"/>
      </w:rPr>
    </w:pPr>
    <w:r>
      <w:rPr>
        <w:bCs/>
        <w:color w:val="000000"/>
        <w:sz w:val="28"/>
        <w:szCs w:val="28"/>
        <w:lang w:val="uk-UA"/>
      </w:rPr>
      <w:t>__________________________________</w:t>
    </w:r>
  </w:p>
  <w:p>
    <w:pPr>
      <w:pStyle w:val="Normal"/>
      <w:jc w:val="right"/>
      <w:rPr>
        <w:sz w:val="28"/>
        <w:szCs w:val="28"/>
        <w:lang w:val="uk-UA"/>
      </w:rPr>
    </w:pPr>
    <w:r>
      <w:rPr>
        <w:bCs/>
        <w:color w:val="000000"/>
        <w:sz w:val="28"/>
        <w:szCs w:val="28"/>
        <w:lang w:val="uk-UA"/>
      </w:rPr>
      <w:t xml:space="preserve">                                                 </w:t>
    </w:r>
    <w:r>
      <w:rPr>
        <w:b/>
        <w:bCs/>
        <w:i/>
        <w:color w:val="000000"/>
        <w:lang w:val="uk-UA"/>
      </w:rPr>
      <w:t>(Підпис акціонера (представника акціонера)</w:t>
    </w:r>
  </w:p>
  <w:p>
    <w:pPr>
      <w:pStyle w:val="Style21"/>
      <w:jc w:val="right"/>
      <w:rPr/>
    </w:pPr>
    <w:r>
      <w:rPr/>
    </w:r>
  </w:p>
  <w:p>
    <w:pPr>
      <w:pStyle w:val="Style21"/>
      <w:tabs>
        <w:tab w:val="clear" w:pos="4819"/>
        <w:tab w:val="clear" w:pos="9639"/>
        <w:tab w:val="left" w:pos="8871" w:leader="none"/>
      </w:tabs>
      <w:rPr>
        <w:sz w:val="20"/>
        <w:szCs w:val="20"/>
        <w:lang w:val="uk-UA"/>
      </w:rPr>
    </w:pPr>
    <w:r>
      <w:rPr>
        <w:sz w:val="20"/>
        <w:szCs w:val="20"/>
        <w:lang w:val="uk-UA"/>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e0b2a"/>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3">
    <w:name w:val="Heading 3"/>
    <w:basedOn w:val="Normal"/>
    <w:next w:val="Normal"/>
    <w:link w:val="Heading3Char"/>
    <w:uiPriority w:val="99"/>
    <w:qFormat/>
    <w:rsid w:val="007e0b2a"/>
    <w:pPr>
      <w:keepNext w:val="true"/>
      <w:ind w:firstLine="720"/>
      <w:jc w:val="center"/>
      <w:outlineLvl w:val="2"/>
    </w:pPr>
    <w:rPr>
      <w:rFonts w:ascii="Courier New" w:hAnsi="Courier New"/>
      <w:sz w:val="28"/>
      <w:szCs w:val="20"/>
      <w:lang w:val="uk-UA"/>
    </w:rPr>
  </w:style>
  <w:style w:type="character" w:styleId="DefaultParagraphFont" w:default="1">
    <w:name w:val="Default Paragraph Font"/>
    <w:uiPriority w:val="1"/>
    <w:semiHidden/>
    <w:unhideWhenUsed/>
    <w:qFormat/>
    <w:rPr/>
  </w:style>
  <w:style w:type="character" w:styleId="Heading3Char" w:customStyle="1">
    <w:name w:val="Heading 3 Char"/>
    <w:basedOn w:val="DefaultParagraphFont"/>
    <w:link w:val="Heading3"/>
    <w:uiPriority w:val="99"/>
    <w:qFormat/>
    <w:rsid w:val="007e0b2a"/>
    <w:rPr>
      <w:rFonts w:ascii="Courier New" w:hAnsi="Courier New" w:eastAsia="Times New Roman" w:cs="Times New Roman"/>
      <w:sz w:val="28"/>
      <w:szCs w:val="20"/>
      <w:lang w:eastAsia="ru-RU"/>
    </w:rPr>
  </w:style>
  <w:style w:type="character" w:styleId="BodyTextIndent2Char" w:customStyle="1">
    <w:name w:val="Body Text Indent 2 Char"/>
    <w:basedOn w:val="DefaultParagraphFont"/>
    <w:link w:val="BodyTextIndent2"/>
    <w:uiPriority w:val="99"/>
    <w:qFormat/>
    <w:rsid w:val="007e0b2a"/>
    <w:rPr>
      <w:rFonts w:ascii="Times New Roman" w:hAnsi="Times New Roman" w:eastAsia="Times New Roman" w:cs="Times New Roman"/>
      <w:sz w:val="24"/>
      <w:szCs w:val="24"/>
      <w:lang w:eastAsia="ru-RU"/>
    </w:rPr>
  </w:style>
  <w:style w:type="character" w:styleId="BalloonTextChar" w:customStyle="1">
    <w:name w:val="Balloon Text Char"/>
    <w:basedOn w:val="DefaultParagraphFont"/>
    <w:link w:val="BalloonText"/>
    <w:uiPriority w:val="99"/>
    <w:semiHidden/>
    <w:qFormat/>
    <w:rsid w:val="00ff4cb9"/>
    <w:rPr>
      <w:rFonts w:ascii="Segoe UI" w:hAnsi="Segoe UI" w:eastAsia="Times New Roman" w:cs="Segoe UI"/>
      <w:sz w:val="18"/>
      <w:szCs w:val="18"/>
      <w:lang w:val="ru-RU" w:eastAsia="ru-RU"/>
    </w:rPr>
  </w:style>
  <w:style w:type="character" w:styleId="HeaderChar" w:customStyle="1">
    <w:name w:val="Header Char"/>
    <w:basedOn w:val="DefaultParagraphFont"/>
    <w:link w:val="Header"/>
    <w:uiPriority w:val="99"/>
    <w:qFormat/>
    <w:rsid w:val="00c1614f"/>
    <w:rPr>
      <w:rFonts w:ascii="Times New Roman" w:hAnsi="Times New Roman" w:eastAsia="Times New Roman" w:cs="Times New Roman"/>
      <w:sz w:val="24"/>
      <w:szCs w:val="24"/>
      <w:lang w:val="ru-RU" w:eastAsia="ru-RU"/>
    </w:rPr>
  </w:style>
  <w:style w:type="character" w:styleId="FooterChar" w:customStyle="1">
    <w:name w:val="Footer Char"/>
    <w:basedOn w:val="DefaultParagraphFont"/>
    <w:link w:val="Footer"/>
    <w:uiPriority w:val="99"/>
    <w:qFormat/>
    <w:rsid w:val="00c1614f"/>
    <w:rPr>
      <w:rFonts w:ascii="Times New Roman" w:hAnsi="Times New Roman" w:eastAsia="Times New Roman" w:cs="Times New Roman"/>
      <w:sz w:val="24"/>
      <w:szCs w:val="24"/>
      <w:lang w:val="ru-RU" w:eastAsia="ru-RU"/>
    </w:rPr>
  </w:style>
  <w:style w:type="character" w:styleId="Annotationreference">
    <w:name w:val="annotation reference"/>
    <w:basedOn w:val="DefaultParagraphFont"/>
    <w:uiPriority w:val="99"/>
    <w:semiHidden/>
    <w:unhideWhenUsed/>
    <w:qFormat/>
    <w:rsid w:val="009d5a66"/>
    <w:rPr>
      <w:sz w:val="16"/>
      <w:szCs w:val="16"/>
    </w:rPr>
  </w:style>
  <w:style w:type="character" w:styleId="CommentTextChar" w:customStyle="1">
    <w:name w:val="Comment Text Char"/>
    <w:basedOn w:val="DefaultParagraphFont"/>
    <w:link w:val="CommentText"/>
    <w:uiPriority w:val="99"/>
    <w:semiHidden/>
    <w:qFormat/>
    <w:rsid w:val="009d5a66"/>
    <w:rPr>
      <w:sz w:val="20"/>
      <w:szCs w:val="20"/>
    </w:rPr>
  </w:style>
  <w:style w:type="character" w:styleId="CommentSubjectChar" w:customStyle="1">
    <w:name w:val="Comment Subject Char"/>
    <w:basedOn w:val="CommentTextChar"/>
    <w:link w:val="CommentSubject"/>
    <w:uiPriority w:val="99"/>
    <w:semiHidden/>
    <w:qFormat/>
    <w:rsid w:val="0015347e"/>
    <w:rPr>
      <w:rFonts w:ascii="Times New Roman" w:hAnsi="Times New Roman" w:eastAsia="Times New Roman" w:cs="Times New Roman"/>
      <w:b/>
      <w:bCs/>
      <w:sz w:val="20"/>
      <w:szCs w:val="20"/>
      <w:lang w:val="ru-RU" w:eastAsia="ru-RU"/>
    </w:rPr>
  </w:style>
  <w:style w:type="character" w:styleId="Style13">
    <w:name w:val="Виділення жирним"/>
    <w:qFormat/>
    <w:rPr>
      <w:b/>
      <w:bCs/>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BodyTextIndent2">
    <w:name w:val="Body Text Indent 2"/>
    <w:basedOn w:val="Normal"/>
    <w:link w:val="BodyTextIndent2Char"/>
    <w:uiPriority w:val="99"/>
    <w:qFormat/>
    <w:rsid w:val="007e0b2a"/>
    <w:pPr>
      <w:spacing w:lineRule="auto" w:line="480" w:before="0" w:after="120"/>
      <w:ind w:left="283" w:hanging="0"/>
    </w:pPr>
    <w:rPr>
      <w:lang w:val="uk-UA"/>
    </w:rPr>
  </w:style>
  <w:style w:type="paragraph" w:styleId="BalloonText">
    <w:name w:val="Balloon Text"/>
    <w:basedOn w:val="Normal"/>
    <w:link w:val="BalloonTextChar"/>
    <w:uiPriority w:val="99"/>
    <w:semiHidden/>
    <w:unhideWhenUsed/>
    <w:qFormat/>
    <w:rsid w:val="00ff4cb9"/>
    <w:pPr/>
    <w:rPr>
      <w:rFonts w:ascii="Segoe UI" w:hAnsi="Segoe UI" w:cs="Segoe UI"/>
      <w:sz w:val="18"/>
      <w:szCs w:val="18"/>
    </w:rPr>
  </w:style>
  <w:style w:type="paragraph" w:styleId="ListParagraph">
    <w:name w:val="List Paragraph"/>
    <w:basedOn w:val="Normal"/>
    <w:uiPriority w:val="34"/>
    <w:qFormat/>
    <w:rsid w:val="00c84640"/>
    <w:pPr>
      <w:spacing w:before="0" w:after="0"/>
      <w:ind w:left="720" w:hanging="0"/>
      <w:contextualSpacing/>
    </w:pPr>
    <w:rPr/>
  </w:style>
  <w:style w:type="paragraph" w:styleId="Style19">
    <w:name w:val="Верхній і нижній колонтитули"/>
    <w:basedOn w:val="Normal"/>
    <w:qFormat/>
    <w:pPr/>
    <w:rPr/>
  </w:style>
  <w:style w:type="paragraph" w:styleId="Style20">
    <w:name w:val="Header"/>
    <w:basedOn w:val="Normal"/>
    <w:link w:val="HeaderChar"/>
    <w:uiPriority w:val="99"/>
    <w:unhideWhenUsed/>
    <w:rsid w:val="00c1614f"/>
    <w:pPr>
      <w:tabs>
        <w:tab w:val="clear" w:pos="708"/>
        <w:tab w:val="center" w:pos="4819" w:leader="none"/>
        <w:tab w:val="right" w:pos="9639" w:leader="none"/>
      </w:tabs>
    </w:pPr>
    <w:rPr/>
  </w:style>
  <w:style w:type="paragraph" w:styleId="Style21">
    <w:name w:val="Footer"/>
    <w:basedOn w:val="Normal"/>
    <w:link w:val="FooterChar"/>
    <w:uiPriority w:val="99"/>
    <w:unhideWhenUsed/>
    <w:rsid w:val="00c1614f"/>
    <w:pPr>
      <w:tabs>
        <w:tab w:val="clear" w:pos="708"/>
        <w:tab w:val="center" w:pos="4819" w:leader="none"/>
        <w:tab w:val="right" w:pos="9639" w:leader="none"/>
      </w:tabs>
    </w:pPr>
    <w:rPr/>
  </w:style>
  <w:style w:type="paragraph" w:styleId="Annotationtext">
    <w:name w:val="annotation text"/>
    <w:basedOn w:val="Normal"/>
    <w:link w:val="CommentTextChar"/>
    <w:uiPriority w:val="99"/>
    <w:semiHidden/>
    <w:unhideWhenUsed/>
    <w:qFormat/>
    <w:rsid w:val="009d5a66"/>
    <w:pPr>
      <w:spacing w:before="0" w:after="160"/>
    </w:pPr>
    <w:rPr>
      <w:rFonts w:ascii="Calibri" w:hAnsi="Calibri" w:eastAsia="Calibri" w:cs="" w:asciiTheme="minorHAnsi" w:cstheme="minorBidi" w:eastAsiaTheme="minorHAnsi" w:hAnsiTheme="minorHAnsi"/>
      <w:sz w:val="20"/>
      <w:szCs w:val="20"/>
      <w:lang w:val="uk-UA" w:eastAsia="en-US"/>
    </w:rPr>
  </w:style>
  <w:style w:type="paragraph" w:styleId="Annotationsubject">
    <w:name w:val="annotation subject"/>
    <w:basedOn w:val="Annotationtext"/>
    <w:next w:val="Annotationtext"/>
    <w:link w:val="CommentSubjectChar"/>
    <w:uiPriority w:val="99"/>
    <w:semiHidden/>
    <w:unhideWhenUsed/>
    <w:qFormat/>
    <w:rsid w:val="0015347e"/>
    <w:pPr>
      <w:spacing w:before="0" w:after="0"/>
    </w:pPr>
    <w:rPr>
      <w:rFonts w:ascii="Times New Roman" w:hAnsi="Times New Roman" w:eastAsia="Times New Roman" w:cs="Times New Roman"/>
      <w:b/>
      <w:bCs/>
      <w:lang w:val="ru-RU" w:eastAsia="ru-RU"/>
    </w:rPr>
  </w:style>
  <w:style w:type="paragraph" w:styleId="Standard">
    <w:name w:val="Standard"/>
    <w:qFormat/>
    <w:pPr>
      <w:widowControl w:val="false"/>
      <w:suppressAutoHyphens w:val="true"/>
      <w:bidi w:val="0"/>
      <w:spacing w:lineRule="auto" w:line="240" w:before="0" w:after="0"/>
      <w:jc w:val="left"/>
      <w:textAlignment w:val="baseline"/>
    </w:pPr>
    <w:rPr>
      <w:rFonts w:ascii="Times New Roman" w:hAnsi="Times New Roman" w:eastAsia="Andale Sans UI" w:cs="Tahoma"/>
      <w:color w:val="auto"/>
      <w:kern w:val="2"/>
      <w:sz w:val="24"/>
      <w:szCs w:val="24"/>
      <w:lang w:val="ru-RU" w:eastAsia="ru-RU"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56B79-E144-4170-B1C7-492868B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Application>LibreOffice/6.4.4.2$Windows_x86 LibreOffice_project/3d775be2011f3886db32dfd395a6a6d1ca2630ff</Application>
  <Pages>4</Pages>
  <Words>943</Words>
  <Characters>6432</Characters>
  <CharactersWithSpaces>7523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2020-12-17T14:21:00Z</dcterms:created>
  <dc:creator>Goncharuk Natalia</dc:creator>
  <dc:description/>
  <dc:language>uk-UA</dc:language>
  <cp:lastModifiedBy/>
  <cp:lastPrinted>2020-12-17T14:37:00Z</cp:lastPrinted>
  <dcterms:modified xsi:type="dcterms:W3CDTF">2020-12-22T13:50:33Z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