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1004A">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10.04.2026</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реєстрації особою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334"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284"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334"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(місце для накладання електронного підпису уповноваженої особи емітента/особи,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3284" w:type="dxa"/>
            <w:tcBorders>
              <w:top w:val="nil"/>
              <w:left w:val="nil"/>
              <w:bottom w:val="nil"/>
              <w:right w:val="nil"/>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Річний звіт</w:t>
      </w: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Приватне акцiонерне товариство "Березаньпродтовари" (00378603)</w:t>
      </w: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2025 рік</w:t>
      </w: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Рішення про затвердження річного звіту: Рішення наглядової ради емітента від 13.02.2026, Визнати поточний фiн</w:t>
      </w:r>
      <w:r>
        <w:rPr>
          <w:rFonts w:ascii="Times New Roman CYR" w:hAnsi="Times New Roman CYR" w:cs="Times New Roman CYR"/>
          <w:sz w:val="24"/>
          <w:szCs w:val="24"/>
        </w:rPr>
        <w:t>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рiчний звiт та фiнансову звiтнiсть Товариства  за 2025 р.</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Особа, яка здійснює діяльність з оприлюднення регульованої інформації: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здійснює подання звітності та/або звітних даних до Національної комісії з цінних паперів та фондового ринку: Державна установа "Агентство з розвитку iнфраструктури фондового</w:t>
      </w:r>
      <w:r>
        <w:rPr>
          <w:rFonts w:ascii="Times New Roman CYR" w:hAnsi="Times New Roman CYR" w:cs="Times New Roman CYR"/>
          <w:sz w:val="24"/>
          <w:szCs w:val="24"/>
        </w:rPr>
        <w:t xml:space="preserve"> ринку України", 21676262, Україна, DR/00002/ARM</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Дані про дату та місце оприлюднення річної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Річну інформацію розміщено на власному вебсайті емітента</w:t>
            </w:r>
          </w:p>
        </w:tc>
        <w:tc>
          <w:tcPr>
            <w:tcW w:w="5165"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1885" w:type="dxa"/>
            <w:tcBorders>
              <w:top w:val="nil"/>
              <w:left w:val="nil"/>
              <w:bottom w:val="single" w:sz="6" w:space="0" w:color="auto"/>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13.04.2026</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tc>
        <w:tc>
          <w:tcPr>
            <w:tcW w:w="5165" w:type="dxa"/>
            <w:tcBorders>
              <w:top w:val="nil"/>
              <w:left w:val="nil"/>
              <w:bottom w:val="nil"/>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вебсайту)</w:t>
            </w:r>
          </w:p>
        </w:tc>
        <w:tc>
          <w:tcPr>
            <w:tcW w:w="1885" w:type="dxa"/>
            <w:tcBorders>
              <w:top w:val="nil"/>
              <w:left w:val="nil"/>
              <w:bottom w:val="nil"/>
              <w:right w:val="nil"/>
            </w:tcBorders>
            <w:vAlign w:val="bottom"/>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Пояснення щодо розкриття інформації</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1.П.1.2.Звiт про сталий розвiток не заповнюється в зв'язк з тим,що згiдно протоколу № 4 вiд 30 вересня 2010 року засiдання Спостережної ради з 01 жовтня 2010 року призупинена на невизначений термин виробнича дiяльнiсть</w:t>
      </w:r>
      <w:r>
        <w:rPr>
          <w:rFonts w:ascii="Times New Roman CYR" w:hAnsi="Times New Roman CYR" w:cs="Times New Roman CYR"/>
          <w:sz w:val="24"/>
          <w:szCs w:val="24"/>
        </w:rPr>
        <w:t xml:space="preserve"> пiдприємства i на даний час в штатi облiковується дві людини - Директор пiдприємства та корпоративний секретар ( за сумісництвом).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Зміст</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до річного звіту</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 Загальна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Ідентифікаційні дані та загальна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Органи управління та посадові особи. Організаційна структура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Структура власності</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Опис господарської та фінансової діяльності</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 Інформація щодо капіталу та цінних паперів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Цінні папери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III. Фінансова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Річна фінансова звітність</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IV. </w:t>
      </w:r>
      <w:r>
        <w:rPr>
          <w:rFonts w:ascii="Times New Roman CYR" w:hAnsi="Times New Roman CYR" w:cs="Times New Roman CYR"/>
          <w:sz w:val="24"/>
          <w:szCs w:val="24"/>
        </w:rPr>
        <w:t>Нефінансова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керівництва (звіт про управління)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звіт про корпоративне управління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Дивіденди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 Загальна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Ідентифікаційні дані та загальна інформація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Приватне акцiонерне товариство "Березаньпродтовари"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Скорочене найменування</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ПрАТ"Березаньпродтовари"</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00378603</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державної реєстрації</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20.10.1995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Місцезнаходження</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 Україна, Київська обл., Броварський р-н р-н, м.Березань, вул.Шевченкiв шлях ,буд.157. Фактичне: 07540, Україна, Київська обл., Броварський р-н р-н, м.Березань, вул.Шевченкiв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для листування</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07540,Київська обл.,м.Березань,вул.Ш</w:t>
            </w:r>
            <w:r>
              <w:rPr>
                <w:rFonts w:ascii="Times New Roman CYR" w:hAnsi="Times New Roman CYR" w:cs="Times New Roman CYR"/>
                <w:sz w:val="24"/>
                <w:szCs w:val="24"/>
              </w:rPr>
              <w:t>евченкiв шлях ,буд.157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яка розкриває інформацію</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Емітент</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Особа, яка надає забезпечення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має статус підприємства, що становить суспільний інтерес</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Так</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Ні</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Категорія підприємства</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Велике</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Середнє</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w:t>
            </w:r>
            <w:r>
              <w:rPr>
                <w:rFonts w:ascii="Times New Roman CYR" w:hAnsi="Times New Roman CYR" w:cs="Times New Roman CYR"/>
                <w:sz w:val="24"/>
                <w:szCs w:val="24"/>
              </w:rPr>
              <w:tab/>
              <w:t>Мале</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Мікро</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10</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електронної пошти для офіційного каналу зв'язку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vatbpt@ukr.net</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Номер телефону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(04576)6-27-69</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Статутний капітал, грн</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4380545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(часток/паїв) у статутному капіталі, що належить державі</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15</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Середня кількість працівників за звітний період</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праці, тис. грн (для розрахунку фіктивності для суб'єктів малого підприємництва)</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18</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Основні види діяльності із зазначенням їх найменування та коду за КВЕД</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68.20 - Надання в оренду й експлуатацiю власного чи орендованого нерухомого майна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10.71 - Виробництво хлiба та хлiбобулочних виробiв; виробництво борошняних кондитерських виробiв,тортiв i тiстечок нетривалого зберiгання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10.73 - Виробництво макаронних вироб</w:t>
            </w:r>
            <w:r>
              <w:rPr>
                <w:rFonts w:ascii="Times New Roman CYR" w:hAnsi="Times New Roman CYR" w:cs="Times New Roman CYR"/>
                <w:sz w:val="24"/>
                <w:szCs w:val="24"/>
              </w:rPr>
              <w:t>iв та подiбних борошняних виробiв</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Структура управління особи</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Однорівнева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V</w:t>
            </w:r>
            <w:r>
              <w:rPr>
                <w:rFonts w:ascii="Times New Roman CYR" w:hAnsi="Times New Roman CYR" w:cs="Times New Roman CYR"/>
                <w:sz w:val="24"/>
                <w:szCs w:val="24"/>
              </w:rPr>
              <w:tab/>
              <w:t>Дворівнева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Інше</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Банки, що обслуговують особу: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
        <w:gridCol w:w="3500"/>
        <w:gridCol w:w="6465"/>
      </w:tblGrid>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"РАЙФФАЙЗЕН БАНК"</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14305909</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IBAN</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UA853003350000000026003209497</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Валюта рахунку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Гривня</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Повне найменування (в т.ч. філії, відділення банку)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товариство"КРЕДI  АГРIКОЛЬ БАНК"</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Ідентифікаційний код юридичної особи</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14361575</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IBAN</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UA863006140000026007500343923</w:t>
            </w:r>
          </w:p>
        </w:tc>
      </w:tr>
      <w:tr w:rsidR="00000000">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3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Валюта рахунку</w:t>
            </w:r>
          </w:p>
        </w:tc>
        <w:tc>
          <w:tcPr>
            <w:tcW w:w="646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Гривня</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2. Органи управління та посадові особи. Організаційна структура</w:t>
      </w: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1450"/>
        <w:gridCol w:w="4000"/>
        <w:gridCol w:w="40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з/п</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органу управління (контролю)</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Кількісний склад органу управління (контролю)</w:t>
            </w:r>
          </w:p>
        </w:tc>
        <w:tc>
          <w:tcPr>
            <w:tcW w:w="4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Персональний склад органу управління (контролю)</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4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4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 (три) члена Наглядової ради</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О.О.- Голова Наглядової ради</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Тараторiнв Анна Юрiївна - член Наглядової ради</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Алла Сергiївна - член Наглядової ради</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4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Загальнi збори </w:t>
            </w:r>
            <w:r>
              <w:rPr>
                <w:rFonts w:ascii="Times New Roman CYR" w:hAnsi="Times New Roman CYR" w:cs="Times New Roman CYR"/>
              </w:rPr>
              <w:t>акцiонерiв</w:t>
            </w:r>
          </w:p>
        </w:tc>
        <w:tc>
          <w:tcPr>
            <w:tcW w:w="4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4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 (одноосiбний виконавчий орган)</w:t>
            </w:r>
          </w:p>
        </w:tc>
        <w:tc>
          <w:tcPr>
            <w:tcW w:w="4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Одноосiбний виконавчий орган - один.</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В.В.- директор</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щодо посадових осіб</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Олексвївна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Вища,КНЕУ,магiстр з 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25</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1-й зам.генерального директора ТБ "УТСБ</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2689002723</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З 2009 по червень 2020 року   1-й зам.генерального директора ТБ "УТСБ".</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18.04.2025</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1977</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Вища,Київський iнститут туризму,економiки i права ,юрист</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23</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2819106623</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18.04.2025</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1983</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Вища,КНЕУ,магiстр з мiжнародного iнвестицiйного менеджменту</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3041516209</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Фiзична особа -пiдприємець</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18.04.2025</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050"/>
        <w:gridCol w:w="2100"/>
        <w:gridCol w:w="1100"/>
        <w:gridCol w:w="800"/>
        <w:gridCol w:w="1000"/>
        <w:gridCol w:w="1000"/>
        <w:gridCol w:w="900"/>
        <w:gridCol w:w="3100"/>
        <w:gridCol w:w="1400"/>
        <w:gridCol w:w="1400"/>
      </w:tblGrid>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Рік народження</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Освіта</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посада(и), яку(і) займав(є) за останні 5 років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набуття повноважень та строк, на який обрано</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 (Так/Ні)</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10</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11</w:t>
            </w:r>
          </w:p>
        </w:tc>
      </w:tr>
      <w:tr w:rsidR="00000000">
        <w:tblPrEx>
          <w:tblCellMar>
            <w:top w:w="0" w:type="dxa"/>
            <w:bottom w:w="0" w:type="dxa"/>
          </w:tblCellMar>
        </w:tblPrEx>
        <w:trPr>
          <w:trHeight w:val="2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8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1955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Вища, ВА iм. Дзержин</w:t>
            </w:r>
            <w:r>
              <w:rPr>
                <w:rFonts w:ascii="Times New Roman CYR" w:hAnsi="Times New Roman CYR" w:cs="Times New Roman CYR"/>
                <w:sz w:val="20"/>
                <w:szCs w:val="20"/>
              </w:rPr>
              <w:lastRenderedPageBreak/>
              <w:t>ського</w:t>
            </w:r>
          </w:p>
        </w:tc>
        <w:tc>
          <w:tcPr>
            <w:tcW w:w="9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41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 ПрАТ "Березаньпродтовари"</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2036516654</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ВЧ 12474, заст. головного iнженера з'єднання</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04.04.2026</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 роки</w:t>
            </w:r>
          </w:p>
        </w:tc>
        <w:tc>
          <w:tcPr>
            <w:tcW w:w="14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Інформація щодо корпоративного секретаря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350"/>
        <w:gridCol w:w="2250"/>
        <w:gridCol w:w="1300"/>
        <w:gridCol w:w="1300"/>
        <w:gridCol w:w="1200"/>
        <w:gridCol w:w="4700"/>
        <w:gridCol w:w="1400"/>
        <w:gridCol w:w="1900"/>
      </w:tblGrid>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 призначення на посаду</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Стаж роботи (років)</w:t>
            </w:r>
          </w:p>
        </w:tc>
        <w:tc>
          <w:tcPr>
            <w:tcW w:w="4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Повне найменування, ідентифікаційний код юридичної особи та посада, яку займав</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Непогашена судимість за корисливі та посадові злочини</w:t>
            </w:r>
          </w:p>
        </w:tc>
        <w:tc>
          <w:tcPr>
            <w:tcW w:w="19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Контактні дані (телефон та адреса електронної пошти корпора</w:t>
            </w:r>
            <w:r>
              <w:rPr>
                <w:rFonts w:ascii="Times New Roman CYR" w:hAnsi="Times New Roman CYR" w:cs="Times New Roman CYR"/>
                <w:sz w:val="20"/>
                <w:szCs w:val="20"/>
              </w:rPr>
              <w:t>тивного секретаря)</w:t>
            </w:r>
          </w:p>
        </w:tc>
      </w:tr>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4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9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200"/>
        </w:trPr>
        <w:tc>
          <w:tcPr>
            <w:tcW w:w="13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01.05.2025</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Пiддубна Олександра Олександрiвна</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24</w:t>
            </w:r>
          </w:p>
        </w:tc>
        <w:tc>
          <w:tcPr>
            <w:tcW w:w="4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ТОВ " Банiса енерджi юкрейн"</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38916406</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Юристконсульт - постiйна робота.Корпоративний секретар ПрАТ"Березаньпродтовари" - за сумiсництвом.</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Ні</w:t>
            </w:r>
          </w:p>
        </w:tc>
        <w:tc>
          <w:tcPr>
            <w:tcW w:w="19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Д/н</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щодо во</w:t>
      </w:r>
      <w:r>
        <w:rPr>
          <w:rFonts w:ascii="Times New Roman CYR" w:hAnsi="Times New Roman CYR" w:cs="Times New Roman CYR"/>
          <w:b/>
          <w:bCs/>
          <w:sz w:val="24"/>
          <w:szCs w:val="24"/>
        </w:rPr>
        <w:t>лодіння посадовими особами акціями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
        <w:gridCol w:w="2450"/>
        <w:gridCol w:w="2500"/>
        <w:gridCol w:w="1625"/>
        <w:gridCol w:w="1625"/>
        <w:gridCol w:w="1625"/>
        <w:gridCol w:w="1625"/>
        <w:gridCol w:w="1700"/>
        <w:gridCol w:w="1700"/>
      </w:tblGrid>
      <w:tr w:rsidR="00000000">
        <w:tblPrEx>
          <w:tblCellMar>
            <w:top w:w="0" w:type="dxa"/>
            <w:bottom w:w="0" w:type="dxa"/>
          </w:tblCellMar>
        </w:tblPrEx>
        <w:trPr>
          <w:trHeight w:val="300"/>
        </w:trPr>
        <w:tc>
          <w:tcPr>
            <w:tcW w:w="550" w:type="dxa"/>
            <w:vMerge w:val="restart"/>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з/п</w:t>
            </w:r>
          </w:p>
        </w:tc>
        <w:tc>
          <w:tcPr>
            <w:tcW w:w="2450"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Ім'я</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РНОКПП</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УНЗР</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акцій, шт.</w:t>
            </w:r>
          </w:p>
        </w:tc>
        <w:tc>
          <w:tcPr>
            <w:tcW w:w="1625"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Від загальної кількості акцій (у відсотках)</w:t>
            </w:r>
          </w:p>
        </w:tc>
        <w:tc>
          <w:tcPr>
            <w:tcW w:w="3400"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Кількість за типами акцій</w:t>
            </w:r>
          </w:p>
        </w:tc>
      </w:tr>
      <w:tr w:rsidR="00000000">
        <w:tblPrEx>
          <w:tblCellMar>
            <w:top w:w="0" w:type="dxa"/>
            <w:bottom w:w="0" w:type="dxa"/>
          </w:tblCellMar>
        </w:tblPrEx>
        <w:trPr>
          <w:trHeight w:val="300"/>
        </w:trPr>
        <w:tc>
          <w:tcPr>
            <w:tcW w:w="550" w:type="dxa"/>
            <w:vMerge/>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450"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прості іменні</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привілейовані іменні</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9</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Директор</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Роднєнков Володимир Володимирович</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Голова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0,000285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50</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Алла Сергiївна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5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Член Наглядової ради</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Тараторiна  Анна Юрiївна</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62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4,903505</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859 201</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01004A">
      <w:pPr>
        <w:widowControl w:val="0"/>
        <w:autoSpaceDE w:val="0"/>
        <w:autoSpaceDN w:val="0"/>
        <w:adjustRightInd w:val="0"/>
        <w:spacing w:after="0" w:line="240" w:lineRule="auto"/>
        <w:rPr>
          <w:rFonts w:ascii="Times New Roman CYR" w:hAnsi="Times New Roman CYR" w:cs="Times New Roman CYR"/>
          <w:sz w:val="20"/>
          <w:szCs w:val="20"/>
        </w:rPr>
        <w:sectPr w:rsidR="00000000">
          <w:pgSz w:w="16837" w:h="11905" w:orient="landscape"/>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lastRenderedPageBreak/>
        <w:t>3. Структура власності</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https://00378603.infosite.com.ua/After2019Details/18284</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4. Опис господарської та фінансової діяльності</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8. Вiддiл кадрiв;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w:t>
      </w:r>
      <w:r>
        <w:rPr>
          <w:rFonts w:ascii="Times New Roman CYR" w:hAnsi="Times New Roman CYR" w:cs="Times New Roman CYR"/>
          <w:sz w:val="24"/>
          <w:szCs w:val="24"/>
        </w:rPr>
        <w:t>Виробнича лабораторiя;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w:t>
      </w:r>
      <w:r>
        <w:rPr>
          <w:rFonts w:ascii="Times New Roman CYR" w:hAnsi="Times New Roman CYR" w:cs="Times New Roman CYR"/>
          <w:sz w:val="24"/>
          <w:szCs w:val="24"/>
        </w:rPr>
        <w:t>ура має такий склад:</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2.Адмiнiстрацiя - Корпоративний секретар (за сумiсництвом).</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Закону України "Про бухгалтерський облiк та фiнансову звiтнiсть в Українi" вiд 16 липня 1999р. № 996 - XIV та нацiональних полож</w:t>
      </w:r>
      <w:r>
        <w:rPr>
          <w:rFonts w:ascii="Times New Roman CYR" w:hAnsi="Times New Roman CYR" w:cs="Times New Roman CYR"/>
          <w:sz w:val="24"/>
          <w:szCs w:val="24"/>
        </w:rPr>
        <w:t>ень (стандартiв) бухгалтерського облiку, а також з метою дотримання пiдприємством єдиної методики вiдображення господарських операцiй та забезпечення своєчасного надання достовiрної iнформацiї користувачам фiнансової звiтностi наказую встановити такi принц</w:t>
      </w:r>
      <w:r>
        <w:rPr>
          <w:rFonts w:ascii="Times New Roman CYR" w:hAnsi="Times New Roman CYR" w:cs="Times New Roman CYR"/>
          <w:sz w:val="24"/>
          <w:szCs w:val="24"/>
        </w:rPr>
        <w:t>ипи, методи i процедури, що будуть використовуватись пiдприємством для складання та подання фiнансової звiтностi i формувати облiкову полiтику пiдприємства.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операцiй i подiй застосовувати норми вiдповiдних положень (стандартiв) бухгалтерського облiку.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забезпечення достовiрностi даних бухгалтерського облiку та фiнансової звiтностi, проводити iнвентар</w:t>
      </w:r>
      <w:r>
        <w:rPr>
          <w:rFonts w:ascii="Times New Roman CYR" w:hAnsi="Times New Roman CYR" w:cs="Times New Roman CYR"/>
          <w:sz w:val="24"/>
          <w:szCs w:val="24"/>
        </w:rPr>
        <w:t>изацiю активiв та зобов'язань ПАТ "Березаньпродтовари&gt; у вiдповiдностi до вимог &lt;Iнструкцiї про iнвентаризацiю основних засобiв, нематерiальних активiв, товарно-матерiальних цiнностей, грошових коштiв i документiв та розрахункiв&gt;, затвердженої наказом Мiнi</w:t>
      </w:r>
      <w:r>
        <w:rPr>
          <w:rFonts w:ascii="Times New Roman CYR" w:hAnsi="Times New Roman CYR" w:cs="Times New Roman CYR"/>
          <w:sz w:val="24"/>
          <w:szCs w:val="24"/>
        </w:rPr>
        <w:t>стерства фiнансiв України № 69 (зi змiнами та доповненнями) вiд 11.08.94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дiяльностi та складаннi фiнансової звiтностi ПАТ &lt;Березаньпродтовари&gt;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Застосовує методи оцiнки, якi виключа</w:t>
      </w:r>
      <w:r>
        <w:rPr>
          <w:rFonts w:ascii="Times New Roman CYR" w:hAnsi="Times New Roman CYR" w:cs="Times New Roman CYR"/>
          <w:sz w:val="24"/>
          <w:szCs w:val="24"/>
        </w:rPr>
        <w:t>ють заниження в оцiнцi зобов'язань та витрат i завищення в оцiнцi активiв i доходiв.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про фактичнi i потенцiйнi наслiдки господарських операцiй та подiй, здатних вплинути на рiшення, що прийм</w:t>
      </w:r>
      <w:r>
        <w:rPr>
          <w:rFonts w:ascii="Times New Roman CYR" w:hAnsi="Times New Roman CYR" w:cs="Times New Roman CYR"/>
          <w:sz w:val="24"/>
          <w:szCs w:val="24"/>
        </w:rPr>
        <w:t>аються на її основi. Склад та характеристика фiнансової звiтностi Пiдприємства повиннi вiдповiдати вимогам Положень (стандартiв) бухгалтерського облiку.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w:t>
      </w:r>
      <w:r>
        <w:rPr>
          <w:rFonts w:ascii="Times New Roman CYR" w:hAnsi="Times New Roman CYR" w:cs="Times New Roman CYR"/>
          <w:sz w:val="24"/>
          <w:szCs w:val="24"/>
        </w:rPr>
        <w:t>истовується МСБУ 16 &lt;Основнi засоби&gt;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w:t>
      </w:r>
      <w:r>
        <w:rPr>
          <w:rFonts w:ascii="Times New Roman CYR" w:hAnsi="Times New Roman CYR" w:cs="Times New Roman CYR"/>
          <w:sz w:val="24"/>
          <w:szCs w:val="24"/>
        </w:rPr>
        <w:t>плекс конструктивно з'єднаних предметiв одного або рiзного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w:t>
      </w:r>
      <w:r>
        <w:rPr>
          <w:rFonts w:ascii="Times New Roman CYR" w:hAnsi="Times New Roman CYR" w:cs="Times New Roman CYR"/>
          <w:sz w:val="24"/>
          <w:szCs w:val="24"/>
        </w:rPr>
        <w:t>ьки в складi комплексу, а не самостiйно.</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w:t>
      </w:r>
      <w:r>
        <w:rPr>
          <w:rFonts w:ascii="Times New Roman CYR" w:hAnsi="Times New Roman CYR" w:cs="Times New Roman CYR"/>
          <w:sz w:val="24"/>
          <w:szCs w:val="24"/>
        </w:rPr>
        <w:t>ля зарахування на баланс.</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нерухомiсть представляє собою об'єкти, якi використовуються для отримання орендної плати та/або прирощення капiталу (в тому числi об'єкти, що будуються).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iнвестицiйної нерухомостi використовується МСФЗ 40 </w:t>
      </w:r>
      <w:r>
        <w:rPr>
          <w:rFonts w:ascii="Times New Roman CYR" w:hAnsi="Times New Roman CYR" w:cs="Times New Roman CYR"/>
          <w:sz w:val="24"/>
          <w:szCs w:val="24"/>
        </w:rPr>
        <w:t>&lt;Iнвестицiйна нерухомiсть&gt;.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нематерiальних активiв використовується МСБУ 38 &lt;Нематерiальнi активи&gt;.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w:t>
      </w:r>
      <w:r>
        <w:rPr>
          <w:rFonts w:ascii="Times New Roman CYR" w:hAnsi="Times New Roman CYR" w:cs="Times New Roman CYR"/>
          <w:sz w:val="24"/>
          <w:szCs w:val="24"/>
        </w:rPr>
        <w:t>и їх корисного використання, встановленi податковим законодавством.</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w:t>
      </w:r>
      <w:r>
        <w:rPr>
          <w:rFonts w:ascii="Times New Roman CYR" w:hAnsi="Times New Roman CYR" w:cs="Times New Roman CYR"/>
          <w:sz w:val="24"/>
          <w:szCs w:val="24"/>
        </w:rPr>
        <w:t>нює нулю.</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нематерiальних активiв - 5 рокiв.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31.12.2025 р. фiнансовi iнвестицiї у Товариства не облiковуються.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синтетичнi рахунки класу 2 "Запаси":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придбання, списання та iншого вибуття запасiв ведеться згiдно П(С)БО 9 "Запаси". Метод оцiнки вибуття запасiв - за середньозважено</w:t>
      </w:r>
      <w:r>
        <w:rPr>
          <w:rFonts w:ascii="Times New Roman CYR" w:hAnsi="Times New Roman CYR" w:cs="Times New Roman CYR"/>
          <w:sz w:val="24"/>
          <w:szCs w:val="24"/>
        </w:rPr>
        <w:t>ю собiвартiстю.</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специфiку попиту на цi види продукцiї, виробн</w:t>
      </w:r>
      <w:r>
        <w:rPr>
          <w:rFonts w:ascii="Times New Roman CYR" w:hAnsi="Times New Roman CYR" w:cs="Times New Roman CYR"/>
          <w:sz w:val="24"/>
          <w:szCs w:val="24"/>
        </w:rPr>
        <w:t>ицтво i збут пiдприємства мають виразний сезонний характер.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"Березаньпродтовари" є лiвобереження Київської областi в тому числi мiсцевий ринок, на якому реалiзовується її левова частка.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оптивими торговцями за межами Київської областi та розширення ш</w:t>
      </w:r>
      <w:r>
        <w:rPr>
          <w:rFonts w:ascii="Times New Roman CYR" w:hAnsi="Times New Roman CYR" w:cs="Times New Roman CYR"/>
          <w:sz w:val="24"/>
          <w:szCs w:val="24"/>
        </w:rPr>
        <w:t>тату власних торгових агентiв.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сировини i матерiалiв пiдприємства є вiтчизнянi пiдпр</w:t>
      </w:r>
      <w:r>
        <w:rPr>
          <w:rFonts w:ascii="Times New Roman CYR" w:hAnsi="Times New Roman CYR" w:cs="Times New Roman CYR"/>
          <w:sz w:val="24"/>
          <w:szCs w:val="24"/>
        </w:rPr>
        <w:t>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збiльшення цiни на сировину та матерiали "пiд сезон", що змушу</w:t>
      </w:r>
      <w:r>
        <w:rPr>
          <w:rFonts w:ascii="Times New Roman CYR" w:hAnsi="Times New Roman CYR" w:cs="Times New Roman CYR"/>
          <w:sz w:val="24"/>
          <w:szCs w:val="24"/>
        </w:rPr>
        <w:t>є пiдприємство вiдповiдно коригувати вiдпускнi цiни на власну продукцiю.</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 ростом культури споживання. Споживання бутильованої мiнер</w:t>
      </w:r>
      <w:r>
        <w:rPr>
          <w:rFonts w:ascii="Times New Roman CYR" w:hAnsi="Times New Roman CYR" w:cs="Times New Roman CYR"/>
          <w:sz w:val="24"/>
          <w:szCs w:val="24"/>
        </w:rPr>
        <w:t xml:space="preserve">альної води вiтчизняного виробництва на душу населення щороку збiльшується. На сьогоднiшнiй день ринок виробництва мiнеральної води та безалкогольних напоїв характеризується як ринок насиченої </w:t>
      </w:r>
      <w:r>
        <w:rPr>
          <w:rFonts w:ascii="Times New Roman CYR" w:hAnsi="Times New Roman CYR" w:cs="Times New Roman CYR"/>
          <w:sz w:val="24"/>
          <w:szCs w:val="24"/>
        </w:rPr>
        <w:lastRenderedPageBreak/>
        <w:t>конкуренцiї. На ньому дiє велика кiлькiстю виробникiв, серед як</w:t>
      </w:r>
      <w:r>
        <w:rPr>
          <w:rFonts w:ascii="Times New Roman CYR" w:hAnsi="Times New Roman CYR" w:cs="Times New Roman CYR"/>
          <w:sz w:val="24"/>
          <w:szCs w:val="24"/>
        </w:rPr>
        <w:t>их 5 - 6 загальнонацiонального масштабу, що контролюють значну частку ринку i задають "тон" всiй галузi. Тож для того, щоб видiлити свою продукцiю серед iнших марок i утримати свою частку ринку регiональнi виробники змушенi йти на високi маркетинговi витра</w:t>
      </w:r>
      <w:r>
        <w:rPr>
          <w:rFonts w:ascii="Times New Roman CYR" w:hAnsi="Times New Roman CYR" w:cs="Times New Roman CYR"/>
          <w:sz w:val="24"/>
          <w:szCs w:val="24"/>
        </w:rPr>
        <w:t>ти, боротися за зменшення собiвартостi продукцiї, постiйно вдосконалювати виробництво.</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w:t>
      </w:r>
      <w:r>
        <w:rPr>
          <w:rFonts w:ascii="Times New Roman CYR" w:hAnsi="Times New Roman CYR" w:cs="Times New Roman CYR"/>
          <w:sz w:val="24"/>
          <w:szCs w:val="24"/>
        </w:rPr>
        <w:t>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w:t>
      </w:r>
      <w:r>
        <w:rPr>
          <w:rFonts w:ascii="Times New Roman CYR" w:hAnsi="Times New Roman CYR" w:cs="Times New Roman CYR"/>
          <w:sz w:val="24"/>
          <w:szCs w:val="24"/>
        </w:rPr>
        <w:t>а новi ринки - безалкогольних соковмiсних напоїв, нектарiв, сокiв та iн.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&lt;Березаньпродтовари</w:t>
      </w:r>
      <w:r>
        <w:rPr>
          <w:rFonts w:ascii="Times New Roman CYR" w:hAnsi="Times New Roman CYR" w:cs="Times New Roman CYR"/>
          <w:sz w:val="24"/>
          <w:szCs w:val="24"/>
        </w:rPr>
        <w:t>&gt;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w:t>
      </w:r>
      <w:r>
        <w:rPr>
          <w:rFonts w:ascii="Times New Roman CYR" w:hAnsi="Times New Roman CYR" w:cs="Times New Roman CYR"/>
          <w:sz w:val="24"/>
          <w:szCs w:val="24"/>
        </w:rPr>
        <w:t>рами,захист торгової марки &lt;Березанська&gt; та iншi супутнi мероприємства.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собiвартiсть продукцiї.</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w:t>
      </w:r>
      <w:r>
        <w:rPr>
          <w:rFonts w:ascii="Times New Roman CYR" w:hAnsi="Times New Roman CYR" w:cs="Times New Roman CYR"/>
          <w:sz w:val="24"/>
          <w:szCs w:val="24"/>
        </w:rPr>
        <w:t>в бюджетi пiдприємства вiльних коштiв на проведення маркетингових заходiв.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продукцiя сумнiвної якостi)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w:t>
      </w:r>
      <w:r>
        <w:rPr>
          <w:rFonts w:ascii="Times New Roman CYR" w:hAnsi="Times New Roman CYR" w:cs="Times New Roman CYR"/>
          <w:sz w:val="24"/>
          <w:szCs w:val="24"/>
        </w:rPr>
        <w:t xml:space="preserve">проможнiсть населення;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вiдсутня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основні засоби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7022" w:type="dxa"/>
            <w:gridSpan w:val="6"/>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щодо вартості чистих активів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1 626</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1 637</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розміру зареєстрованого статутного капіталу особи</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37,11</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37,37</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Співвідношення (у відсотках) вартості чистих активів особи за звітний період до вартості чистих активів за попередній звітний період</w:t>
            </w:r>
          </w:p>
        </w:tc>
        <w:tc>
          <w:tcPr>
            <w:tcW w:w="3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99,33</w:t>
            </w:r>
          </w:p>
        </w:tc>
        <w:tc>
          <w:tcPr>
            <w:tcW w:w="3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99,73</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Висновок</w:t>
            </w:r>
          </w:p>
        </w:tc>
        <w:tc>
          <w:tcPr>
            <w:tcW w:w="8740" w:type="dxa"/>
            <w:gridSpan w:val="3"/>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2755,00 тис.грн. Скоригований ста</w:t>
            </w:r>
            <w:r>
              <w:rPr>
                <w:rFonts w:ascii="Times New Roman CYR" w:hAnsi="Times New Roman CYR" w:cs="Times New Roman CYR"/>
              </w:rPr>
              <w:t>тутний капiтал перевищує розрахункову вартiсть чистих активiв на 2755,00 тис.грн. Порушенi вимоги частини третьої статтi 155 Цивiльного кодексу України. Вимагається зменшення статутного капiталу.</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Інформація про осіб, послугами яких користується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Основні види діяльності із зазначенн</w:t>
            </w:r>
            <w:r>
              <w:rPr>
                <w:rFonts w:ascii="Times New Roman CYR" w:hAnsi="Times New Roman CYR" w:cs="Times New Roman CYR"/>
              </w:rPr>
              <w:t>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Повне найменування або ім'я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РНОКПП</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УНЗР</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Місцезнаходження</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види діяльності із зазначенням їх найменування та коду за КВЕД</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 - Д/н</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Д/н - </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Вид послуг, які надає особа</w:t>
            </w:r>
          </w:p>
        </w:tc>
        <w:tc>
          <w:tcPr>
            <w:tcW w:w="4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lastRenderedPageBreak/>
        <w:t>II. Інформація щодо капіталу та цінних паперів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3. Цінні папери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випуски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600"/>
        <w:gridCol w:w="1350"/>
        <w:gridCol w:w="1450"/>
        <w:gridCol w:w="1200"/>
        <w:gridCol w:w="1400"/>
        <w:gridCol w:w="17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Тип цінного папера</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7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6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3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7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26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2800" w:type="dxa"/>
            <w:gridSpan w:val="8"/>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загальну к</w:t>
      </w:r>
      <w:r>
        <w:rPr>
          <w:rFonts w:ascii="Times New Roman CYR" w:hAnsi="Times New Roman CYR" w:cs="Times New Roman CYR"/>
          <w:b/>
          <w:bCs/>
          <w:sz w:val="24"/>
          <w:szCs w:val="24"/>
        </w:rPr>
        <w:t>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00"/>
        <w:gridCol w:w="2000"/>
        <w:gridCol w:w="2000"/>
        <w:gridCol w:w="2000"/>
        <w:gridCol w:w="2100"/>
        <w:gridCol w:w="1500"/>
        <w:gridCol w:w="1500"/>
        <w:gridCol w:w="2800"/>
      </w:tblGrid>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Номер свідоцтва про реєстра</w:t>
            </w:r>
            <w:r>
              <w:rPr>
                <w:rFonts w:ascii="Times New Roman CYR" w:hAnsi="Times New Roman CYR" w:cs="Times New Roman CYR"/>
              </w:rPr>
              <w:t>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обмежено, шт.</w:t>
            </w:r>
          </w:p>
        </w:tc>
        <w:tc>
          <w:tcPr>
            <w:tcW w:w="28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Кількість голосуючих акцій, права голосу за якими за результатами обмеження таких прав передано іншій особі, шт.</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8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16 473 514</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w:t>
            </w:r>
          </w:p>
        </w:tc>
        <w:tc>
          <w:tcPr>
            <w:tcW w:w="28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300"/>
        </w:trPr>
        <w:tc>
          <w:tcPr>
            <w:tcW w:w="1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інформація</w:t>
            </w:r>
          </w:p>
        </w:tc>
        <w:tc>
          <w:tcPr>
            <w:tcW w:w="13900" w:type="dxa"/>
            <w:gridSpan w:val="7"/>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Характеристика обмеження: Iншi власники акцiй в кiлькiстi 1048666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w:t>
            </w:r>
            <w:r>
              <w:rPr>
                <w:rFonts w:ascii="Times New Roman CYR" w:hAnsi="Times New Roman CYR" w:cs="Times New Roman CYR"/>
              </w:rPr>
              <w:t>вiй рахунок у цiнних паперах,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w:t>
            </w:r>
            <w:r>
              <w:rPr>
                <w:rFonts w:ascii="Times New Roman CYR" w:hAnsi="Times New Roman CYR" w:cs="Times New Roman CYR"/>
              </w:rPr>
              <w:t xml:space="preserve">9/НК вiд 30.09.2014 року,  їхнi акцiї не враховуються при визначеннi кворуму та при голосуваннi в органах емiтента. </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Iнших обмежень прав участi та голосування акцiонерiв на загальних зборах емiтентiв немає.  </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sectPr w:rsidR="00000000">
          <w:pgSz w:w="16837" w:h="11905" w:orient="landscape"/>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III. Фінансова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i/>
          <w:iCs/>
          <w:sz w:val="24"/>
          <w:szCs w:val="24"/>
        </w:rPr>
        <w:t>2. Річна фінансова звітність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https://00378603.infosite.com.ua/After2019Details/18252</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IV. Нефінансова інформація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1. Звіт керівництва (звіт про управління)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Звернення до акціонерів/учасників та інших стейкхолдерів від голови ради</w:t>
      </w:r>
      <w:r>
        <w:rPr>
          <w:rFonts w:ascii="Times New Roman CYR" w:hAnsi="Times New Roman CYR" w:cs="Times New Roman CYR"/>
          <w:sz w:val="24"/>
          <w:szCs w:val="24"/>
        </w:rPr>
        <w:t xml:space="preserve"> особи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Звернення до акціонерів/учасників та інших стейкхолдерів від керівника особи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Березанський завод продтоварiв був заснований в I944 роцi. До основних видiв дiяльностi пiдприємства в рiзнi перiоди iснування вiдносились: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продовольчих товарiв був приватизований. Сьогоднi вла</w:t>
      </w:r>
      <w:r>
        <w:rPr>
          <w:rFonts w:ascii="Times New Roman CYR" w:hAnsi="Times New Roman CYR" w:cs="Times New Roman CYR"/>
          <w:sz w:val="24"/>
          <w:szCs w:val="24"/>
        </w:rPr>
        <w:t>сниками акцiй ПАТ "Березаньпродтовари" є юридичнi особи та фiзичнi особи.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можно  можна роздiлити на внутрiшнi та зовнiшнi</w:t>
      </w:r>
      <w:r>
        <w:rPr>
          <w:rFonts w:ascii="Times New Roman CYR" w:hAnsi="Times New Roman CYR" w:cs="Times New Roman CYR"/>
          <w:sz w:val="24"/>
          <w:szCs w:val="24"/>
        </w:rPr>
        <w:t>.</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Надмiрний податковий тиск;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Н</w:t>
      </w:r>
      <w:r>
        <w:rPr>
          <w:rFonts w:ascii="Times New Roman CYR" w:hAnsi="Times New Roman CYR" w:cs="Times New Roman CYR"/>
          <w:sz w:val="24"/>
          <w:szCs w:val="24"/>
        </w:rPr>
        <w:t xml:space="preserve">едобросовiсна конкуренцiя (дешева продукцiя сумнiвної якостi)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"Березаньпродтовари" призупинило виробничу дiяльнiсть.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Інформація про розвиток та вірогідні перспективи подальшого розвитку особи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w:t>
      </w:r>
      <w:r>
        <w:rPr>
          <w:rFonts w:ascii="Times New Roman CYR" w:hAnsi="Times New Roman CYR" w:cs="Times New Roman CYR"/>
          <w:sz w:val="24"/>
          <w:szCs w:val="24"/>
        </w:rPr>
        <w:t xml:space="preserve"> мiнеральної води та безалкогольних напоїв потужнiстю 3,5 млн. пляшок за рiк при однозмiнному робочому днi.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 збут пiдприємства мали виразний сезонний характер.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w:t>
      </w:r>
      <w:r>
        <w:rPr>
          <w:rFonts w:ascii="Times New Roman CYR" w:hAnsi="Times New Roman CYR" w:cs="Times New Roman CYR"/>
          <w:sz w:val="24"/>
          <w:szCs w:val="24"/>
        </w:rPr>
        <w:t>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клiєнтiв ПАТ "Березаньпродтовари" переважали роздрiбнi торговцi, частка дрiбн</w:t>
      </w:r>
      <w:r>
        <w:rPr>
          <w:rFonts w:ascii="Times New Roman CYR" w:hAnsi="Times New Roman CYR" w:cs="Times New Roman CYR"/>
          <w:sz w:val="24"/>
          <w:szCs w:val="24"/>
        </w:rPr>
        <w:t>ооптових та оптових клiєнтiв - незначна.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w:t>
      </w:r>
      <w:r>
        <w:rPr>
          <w:rFonts w:ascii="Times New Roman CYR" w:hAnsi="Times New Roman CYR" w:cs="Times New Roman CYR"/>
          <w:sz w:val="24"/>
          <w:szCs w:val="24"/>
        </w:rPr>
        <w:t>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w:t>
      </w:r>
      <w:r>
        <w:rPr>
          <w:rFonts w:ascii="Times New Roman CYR" w:hAnsi="Times New Roman CYR" w:cs="Times New Roman CYR"/>
          <w:sz w:val="24"/>
          <w:szCs w:val="24"/>
        </w:rPr>
        <w:t>их напоїв, нектарiв, сокiв та iн.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"Березаньпродтовари" на наступнi роки залежить вiд i</w:t>
      </w:r>
      <w:r>
        <w:rPr>
          <w:rFonts w:ascii="Times New Roman CYR" w:hAnsi="Times New Roman CYR" w:cs="Times New Roman CYR"/>
          <w:sz w:val="24"/>
          <w:szCs w:val="24"/>
        </w:rPr>
        <w:t>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"Берез</w:t>
      </w:r>
      <w:r>
        <w:rPr>
          <w:rFonts w:ascii="Times New Roman CYR" w:hAnsi="Times New Roman CYR" w:cs="Times New Roman CYR"/>
          <w:sz w:val="24"/>
          <w:szCs w:val="24"/>
        </w:rPr>
        <w:t>анська" та iншi супутнi мероприємства.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Інформація про укладення деривативних контрактів або вчинення правочинів щодо деривативних цінних паперів емітентом (крім укладених / вчинених особою, яка провадить клірингову діяльність центрального контрагента</w:t>
      </w:r>
      <w:r>
        <w:rPr>
          <w:rFonts w:ascii="Times New Roman CYR" w:hAnsi="Times New Roman CYR" w:cs="Times New Roman CYR"/>
          <w:sz w:val="24"/>
          <w:szCs w:val="24"/>
        </w:rPr>
        <w:t>, у 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Укладення деривативiв або вчинення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Завдання та політика особи щодо</w:t>
      </w:r>
      <w:r>
        <w:rPr>
          <w:rFonts w:ascii="Times New Roman CYR" w:hAnsi="Times New Roman CYR" w:cs="Times New Roman CYR"/>
          <w:sz w:val="24"/>
          <w:szCs w:val="24"/>
        </w:rPr>
        <w:t xml:space="preserve"> управління 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Схильність особи до цінових ризиків, кредитного ризику, ризику ліквідності та/або </w:t>
      </w:r>
      <w:r>
        <w:rPr>
          <w:rFonts w:ascii="Times New Roman CYR" w:hAnsi="Times New Roman CYR" w:cs="Times New Roman CYR"/>
          <w:sz w:val="24"/>
          <w:szCs w:val="24"/>
        </w:rPr>
        <w:t>ризику грошових потоків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1) звіт про корпоративне управління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1. Інформація про кодекс корпоративного управління, яким керується особа, та/або практику корпоративного управління особи, застосовувану понад визначені законодавством вимоги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w:t>
      </w:r>
      <w:r>
        <w:rPr>
          <w:rFonts w:ascii="Times New Roman CYR" w:hAnsi="Times New Roman CYR" w:cs="Times New Roman CYR"/>
          <w:b/>
          <w:bCs/>
          <w:sz w:val="24"/>
          <w:szCs w:val="24"/>
        </w:rPr>
        <w:t>рмація про кодекс корпоративного управління, яким керується особа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60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6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Прийнято рішення про застосування іншого кодексу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Назва органу управління, яким прийнято рішення про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користується  власним кодексом корпоративного управлiння.   Згiдно Ст.39 Закону України "Про акцiонернi товариства" питання затвердження принципiв (кодексу) корпоративного управлiння товариства вiднесено до виключної компетенц</w:t>
            </w:r>
            <w:r>
              <w:rPr>
                <w:rFonts w:ascii="Times New Roman CYR" w:hAnsi="Times New Roman CYR" w:cs="Times New Roman CYR"/>
                <w:sz w:val="24"/>
                <w:szCs w:val="24"/>
              </w:rPr>
              <w:t>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зборами акцiонерiв 22 липня 2016 року (протокол № 2016/07/22).Також в своїй дiя</w:t>
            </w:r>
            <w:r>
              <w:rPr>
                <w:rFonts w:ascii="Times New Roman CYR" w:hAnsi="Times New Roman CYR" w:cs="Times New Roman CYR"/>
                <w:sz w:val="24"/>
                <w:szCs w:val="24"/>
              </w:rPr>
              <w:t>льностi акцiонерне товариство застосовує основнi вимоги та рекомендацiї Кодекса корпоративного управлiння прийнятого Рiшенням НКЦП таФР № 118 вiд 12.03.2000 року.</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прийняття рішення щодо затвердження застосування іншого кодексу</w:t>
            </w:r>
          </w:p>
        </w:tc>
        <w:tc>
          <w:tcPr>
            <w:tcW w:w="6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23.07.2016</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URL-адреса </w:t>
            </w:r>
            <w:r>
              <w:rPr>
                <w:rFonts w:ascii="Times New Roman CYR" w:hAnsi="Times New Roman CYR" w:cs="Times New Roman CYR"/>
                <w:sz w:val="24"/>
                <w:szCs w:val="24"/>
              </w:rPr>
              <w:t>з текстом кодексу</w:t>
            </w:r>
          </w:p>
        </w:tc>
        <w:tc>
          <w:tcPr>
            <w:tcW w:w="6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http://8421.com.ua/InfoSite/Admin/SiteInfos/485/DetailInfo/CodexInfo</w:t>
            </w: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практику корпоративного управління особи, застосовувану понад визначені законодавством вимоги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gridCol w:w="1500"/>
        <w:gridCol w:w="4500"/>
      </w:tblGrid>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Відповідність практики (Так/Ні)</w:t>
            </w:r>
          </w:p>
        </w:tc>
        <w:tc>
          <w:tcPr>
            <w:tcW w:w="45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 наявної практики/обґрунтування відхилення</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Цілі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статуті та/або внутрішніх документах особи визначена мета щодо створення довгострокової сталої цінності в інтересах особи та її стейкхолдерів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Метою  Принципiв корпоративного управлiння є впровадження у щоденну практику дiяльностi   ПрАТ "Березаньпродтовари" (далi - Товариство) вiдповiдних норм та традицiй корпоративної поведiнки, заснованих на стандартах корпоративного управлiння, що застосову</w:t>
            </w:r>
            <w:r>
              <w:rPr>
                <w:rFonts w:ascii="Times New Roman CYR" w:hAnsi="Times New Roman CYR" w:cs="Times New Roman CYR"/>
                <w:sz w:val="24"/>
                <w:szCs w:val="24"/>
              </w:rPr>
              <w:t xml:space="preserve">ються у мiжнароднiй практицi, вимогах чинного законодавства України, етичних нормах поведiнки та звичаїв дiлового обiгу.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Впровадження цих Принципiв спрямоване на: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захист iнтересiв акцiонерiв, незалежно вiд розмiру пакету акцiй, якими вони володiють;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 xml:space="preserve"> досягнення порозумiння мiж усiма особами, зацiкавленими в ефективнiй роботi Товариства: акцiонерами, клiєнтами, партнерами, спiвробiтниками;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забезпечення прозоростi Товариства та пiдвищення ефективностi дiяльностi Наглядової ради, Виконавчого органу То</w:t>
            </w:r>
            <w:r>
              <w:rPr>
                <w:rFonts w:ascii="Times New Roman CYR" w:hAnsi="Times New Roman CYR" w:cs="Times New Roman CYR"/>
                <w:sz w:val="24"/>
                <w:szCs w:val="24"/>
              </w:rPr>
              <w:t xml:space="preserve">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збiльшення вартостi активiв Товариства, пiдтримку його фiнансової стабiльностi та прибутковостi.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Акціонери та стейкхолдери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Права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Акцiонери мають сукупнiсть прав у вiдношеннi Товариства, дотримання та захист яких зобов'язанi забезпечити Наглядова рада та Правлiння. Основними внутрiшнiми документами Товариства, що закрiплюють права акцiонерiв є Статут Товариства та Положення про за</w:t>
            </w:r>
            <w:r>
              <w:rPr>
                <w:rFonts w:ascii="Times New Roman CYR" w:hAnsi="Times New Roman CYR" w:cs="Times New Roman CYR"/>
                <w:sz w:val="24"/>
                <w:szCs w:val="24"/>
              </w:rPr>
              <w:t xml:space="preserve">гальнi збори акцiонерiв Товариства, якi затверджуються загальними зборами акцiонерiв.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Акцiонери мають право на свiй розсуд вiльно розпоряджатися акцiями, що їм належать, здiйснювати будь-якi дiї, що не суперечать закону та не порушують права та iнтерес</w:t>
            </w:r>
            <w:r>
              <w:rPr>
                <w:rFonts w:ascii="Times New Roman CYR" w:hAnsi="Times New Roman CYR" w:cs="Times New Roman CYR"/>
                <w:sz w:val="24"/>
                <w:szCs w:val="24"/>
              </w:rPr>
              <w:t xml:space="preserve">и iнших осiб, що охороняються законом, у тому ж числi вiдчужувати свої акцiї у володiння iнших осiб.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 Акцiонери мають право на регулярне та своєчасне отримання iнформацiї про дiяльнiсть Товариства  в обсягу, достатньому для прийняття ними виважених та о</w:t>
            </w:r>
            <w:r>
              <w:rPr>
                <w:rFonts w:ascii="Times New Roman CYR" w:hAnsi="Times New Roman CYR" w:cs="Times New Roman CYR"/>
                <w:sz w:val="24"/>
                <w:szCs w:val="24"/>
              </w:rPr>
              <w:t xml:space="preserve">бгрунтованих рiшень щодо розпорядження акцiями.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з метою належного дотримання та захисту вказаного права гарантує виконання встановлених законодавством України вимог щодо розкриття iнформацiї.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Акцiонери мають право на своєчасне отримання по</w:t>
            </w:r>
            <w:r>
              <w:rPr>
                <w:rFonts w:ascii="Times New Roman CYR" w:hAnsi="Times New Roman CYR" w:cs="Times New Roman CYR"/>
                <w:sz w:val="24"/>
                <w:szCs w:val="24"/>
              </w:rPr>
              <w:t xml:space="preserve">вної та об'єктивної iнформацiї: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угоди, якi значною мiрою можуть вплинути на фiнансовi результати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про виникнення зобов'язань Товариства  перед третiми особами, невиконання яких може привести до зниження вартостi акцiй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w:t>
            </w:r>
            <w:r>
              <w:rPr>
                <w:rFonts w:ascii="Times New Roman CYR" w:hAnsi="Times New Roman CYR" w:cs="Times New Roman CYR"/>
                <w:sz w:val="24"/>
                <w:szCs w:val="24"/>
              </w:rPr>
              <w:t xml:space="preserve">о збiльшення статутного капiталу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 свою чергу, акцiонери Товариства несуть вiдповiдальнiсть один перед одним, iншими зацiкавленими особами та Товариством  в цiлому, за довгострокову стабiльнiсть та прибутковiсть Товариства. У зв'язку з цим,</w:t>
            </w:r>
            <w:r>
              <w:rPr>
                <w:rFonts w:ascii="Times New Roman CYR" w:hAnsi="Times New Roman CYR" w:cs="Times New Roman CYR"/>
                <w:sz w:val="24"/>
                <w:szCs w:val="24"/>
              </w:rPr>
              <w:t xml:space="preserve"> акцiонери не повиннi приймати нiяких заходiв, якi здатнi пiдiрвати довгострокову прибутковiсть Товариства, не повиннi впливати на Правлiння з тим, щоб змусити реалiзувати цiлi таких акцiонерiв за рахунок iнших акцiонерiв.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Права міноритарних акціонерів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Однакове ставлення до акцiонерiв, незалежно вiд кiлькостi належних їм акцiй. </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загальні збори акціонерів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отримувати додаткову інформацію достатню, щоб сформувати поінформовану думку щодо всіх питань, які розглядатимуться під час загальних зборів не менше, ніж за 30 днів до дати їх провед</w:t>
            </w:r>
            <w:r>
              <w:rPr>
                <w:rFonts w:ascii="Times New Roman CYR" w:hAnsi="Times New Roman CYR" w:cs="Times New Roman CYR"/>
                <w:sz w:val="24"/>
                <w:szCs w:val="24"/>
              </w:rPr>
              <w:t>ення</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має право отримати, а товариство зобов'язане на його запит надати в формi електронних документiв (копiй документiв), безкоштовно документи, з якими акцiонери можуть ознайомитися пiд час пiдготовки до загальних зборiв. Вiд дати надiс</w:t>
            </w:r>
            <w:r>
              <w:rPr>
                <w:rFonts w:ascii="Times New Roman CYR" w:hAnsi="Times New Roman CYR" w:cs="Times New Roman CYR"/>
                <w:sz w:val="24"/>
                <w:szCs w:val="24"/>
              </w:rPr>
              <w:t xml:space="preserve">лання повiдомлення про проведення загальних зборiв до дати проведення загальних зборiв Товариство надає акцiонерам </w:t>
            </w:r>
            <w:r>
              <w:rPr>
                <w:rFonts w:ascii="Times New Roman CYR" w:hAnsi="Times New Roman CYR" w:cs="Times New Roman CYR"/>
                <w:sz w:val="24"/>
                <w:szCs w:val="24"/>
              </w:rPr>
              <w:lastRenderedPageBreak/>
              <w:t>можливiсть ознайомитися з документами, необхiдними для прийняття рiшень з питань порядку денного шляхом направлення документiв акцiонеру на й</w:t>
            </w:r>
            <w:r>
              <w:rPr>
                <w:rFonts w:ascii="Times New Roman CYR" w:hAnsi="Times New Roman CYR" w:cs="Times New Roman CYR"/>
                <w:sz w:val="24"/>
                <w:szCs w:val="24"/>
              </w:rPr>
              <w:t>ого запит засобами електронної пошти, зазначеної в повiдомленнi про проведення загальних зборiв.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до дати проведення загальних зборiв надає вiдповiдi на запитання акцiонерiв щодо питань, включених до проекту порядку денного загальних зборiв та по</w:t>
            </w:r>
            <w:r>
              <w:rPr>
                <w:rFonts w:ascii="Times New Roman CYR" w:hAnsi="Times New Roman CYR" w:cs="Times New Roman CYR"/>
                <w:sz w:val="24"/>
                <w:szCs w:val="24"/>
              </w:rPr>
              <w:t xml:space="preserve">рядку денного загальних зборiв. Вiдповiднi запити направляються акцiонерами на адресу електронної пошти, зазначену в повiдомленнi про проведення загальних зборiв. Товариство може надати одну загальну вiдповiдь на всi запитання однакового змiсту. Вiдповiдi </w:t>
            </w:r>
            <w:r>
              <w:rPr>
                <w:rFonts w:ascii="Times New Roman CYR" w:hAnsi="Times New Roman CYR" w:cs="Times New Roman CYR"/>
                <w:sz w:val="24"/>
                <w:szCs w:val="24"/>
              </w:rPr>
              <w:t>на запити акцiонерiв направляються на адресу електронної пошти акцiонера, з якої надiйшов належним чином оформлений запит, iз засвiдченням вiдповiдi квалiфiкованим електронним пiдписом уповноваженої особи.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Біографічні дані про кандидатів до складу органів управління, у тому числі про освіту та професійний досвід, розкриваються одночасно із повідомленням про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бюлетенях для кумулятивного голосування вказанi бiографiчнi данi про</w:t>
            </w:r>
            <w:r>
              <w:rPr>
                <w:rFonts w:ascii="Times New Roman CYR" w:hAnsi="Times New Roman CYR" w:cs="Times New Roman CYR"/>
                <w:sz w:val="24"/>
                <w:szCs w:val="24"/>
              </w:rPr>
              <w:t xml:space="preserve"> кандидатiв до складу органiв управлiння ,у тому числi про освiту та професiйний досвiд.</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 які мають право брати участь у загальних зборах, мають можливість голосувати, а також отримувати матеріали, пов'язані із загальними зборами, дистанційно (за до</w:t>
            </w:r>
            <w:r>
              <w:rPr>
                <w:rFonts w:ascii="Times New Roman CYR" w:hAnsi="Times New Roman CYR" w:cs="Times New Roman CYR"/>
                <w:sz w:val="24"/>
                <w:szCs w:val="24"/>
              </w:rPr>
              <w:t>помогою засобів електронного зв'язку тощо)</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Кожен акцiонер - власник голосуючих акцiй має право реалiзувати своє право на управлiння товариством шляхом участi у загальних зборах та голосування шляхом подання бюлетенiв депозитарнiй установi, яка обслугов</w:t>
            </w:r>
            <w:r>
              <w:rPr>
                <w:rFonts w:ascii="Times New Roman CYR" w:hAnsi="Times New Roman CYR" w:cs="Times New Roman CYR"/>
                <w:sz w:val="24"/>
                <w:szCs w:val="24"/>
              </w:rPr>
              <w:t>ує рахунок в цiнних паперах такого акцiонера, на якому облiковуються належнi акцiонеру акцiї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Голосування на загальних зборах з питань порядку денного проводиться виключно з використанням бюлетенiв для голосування - бюлетеня для кумулятивного го</w:t>
            </w:r>
            <w:r>
              <w:rPr>
                <w:rFonts w:ascii="Times New Roman CYR" w:hAnsi="Times New Roman CYR" w:cs="Times New Roman CYR"/>
                <w:sz w:val="24"/>
                <w:szCs w:val="24"/>
              </w:rPr>
              <w:t xml:space="preserve">лосування (з питань порядку денного, голосування за якими здiйснюється шляхом кумулятивного голосування), бюлетеня для голосування з питань обрання органiв товариства (крiм кумулятивного голосування), бюлетеня для голосування (щодо iнших </w:t>
            </w:r>
            <w:r>
              <w:rPr>
                <w:rFonts w:ascii="Times New Roman CYR" w:hAnsi="Times New Roman CYR" w:cs="Times New Roman CYR"/>
                <w:sz w:val="24"/>
                <w:szCs w:val="24"/>
              </w:rPr>
              <w:lastRenderedPageBreak/>
              <w:t>питань порядку ден</w:t>
            </w:r>
            <w:r>
              <w:rPr>
                <w:rFonts w:ascii="Times New Roman CYR" w:hAnsi="Times New Roman CYR" w:cs="Times New Roman CYR"/>
                <w:sz w:val="24"/>
                <w:szCs w:val="24"/>
              </w:rPr>
              <w:t>ного, крiм обрання органiв товариства), бюлетеня для голосування власникiв привiлейованих акцiй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Керівник, фінансовий директор, більшість членів ради (більшість невиконавчих директорів ради директорів) і зовнішній аудитор беруть участь у річни</w:t>
            </w:r>
            <w:r>
              <w:rPr>
                <w:rFonts w:ascii="Times New Roman CYR" w:hAnsi="Times New Roman CYR" w:cs="Times New Roman CYR"/>
                <w:sz w:val="24"/>
                <w:szCs w:val="24"/>
              </w:rPr>
              <w:t>х загальних зборах</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Як правило з керiвництва Товариста беруть участь в рiчних ЗЗА Голова наглядової ради,директор та члени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Особи, які мають можливість брати участь </w:t>
            </w:r>
            <w:r>
              <w:rPr>
                <w:rFonts w:ascii="Times New Roman CYR" w:hAnsi="Times New Roman CYR" w:cs="Times New Roman CYR"/>
                <w:sz w:val="24"/>
                <w:szCs w:val="24"/>
              </w:rPr>
              <w:t>у загальних зборах, мають можливість ставити усні запитання стосовно питань порядку денного і отримувати відповіді на них</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Кожний акцiонер має право внести пропозицiї щодо питань, включених до проекту порядку денного загальних зборiв акцiонерного товар</w:t>
            </w:r>
            <w:r>
              <w:rPr>
                <w:rFonts w:ascii="Times New Roman CYR" w:hAnsi="Times New Roman CYR" w:cs="Times New Roman CYR"/>
                <w:sz w:val="24"/>
                <w:szCs w:val="24"/>
              </w:rPr>
              <w:t>иства, а також щодо нових кандидатiв до складу органiв товариства, кiлькiсть яких не може перевищувати кiлькiсного складу кожного з органiв.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вносяться не пiзнiше нiж за 20 (двадцять) днiв до дати проведення загальних зборiв акцiонерного товарист</w:t>
            </w:r>
            <w:r>
              <w:rPr>
                <w:rFonts w:ascii="Times New Roman CYR" w:hAnsi="Times New Roman CYR" w:cs="Times New Roman CYR"/>
                <w:sz w:val="24"/>
                <w:szCs w:val="24"/>
              </w:rPr>
              <w:t>ва, а щодо кандидатiв до складу органiв товариства - не пiзнiше нiж за 7 (сiм) днiв до дати проведення загальних зборiв. Пропозицiї щодо включення нових питань до проекту порядку денного повиннi мiстити вiдповiднi проекти рiшень з цих питань. Пропозицiї що</w:t>
            </w:r>
            <w:r>
              <w:rPr>
                <w:rFonts w:ascii="Times New Roman CYR" w:hAnsi="Times New Roman CYR" w:cs="Times New Roman CYR"/>
                <w:sz w:val="24"/>
                <w:szCs w:val="24"/>
              </w:rPr>
              <w:t>до кандидатiв у члени наглядової ради акцiонерного товариства мають мiстити iнформацiю про те, чи є запропонований кандидат представником акцiонера (акцiонерiв), або про те, що кандидат пропонується на посаду члена наглядової ради - незалежного директора.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проекту порядку денного загальних зборiв акцiонерного товариства подається акцiонером в письмовiй формi iз зазначенням прiзвища, iм'я та по-батьковi (найменування) та реквiзитiв акцiонера, який її вносить, кiлькостi, типу та/або класу належни</w:t>
            </w:r>
            <w:r>
              <w:rPr>
                <w:rFonts w:ascii="Times New Roman CYR" w:hAnsi="Times New Roman CYR" w:cs="Times New Roman CYR"/>
                <w:sz w:val="24"/>
                <w:szCs w:val="24"/>
              </w:rPr>
              <w:t>х йому акцiй, змiсту пропозицiї до питання та/або проекту рiшення, а також кiлькостi, типу та/або класу акцiй, що належать кандидату, який пропонується цим акцiонером до складу органiв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Пропозицiя до порядку денного загальних зборiв може бути по</w:t>
            </w:r>
            <w:r>
              <w:rPr>
                <w:rFonts w:ascii="Times New Roman CYR" w:hAnsi="Times New Roman CYR" w:cs="Times New Roman CYR"/>
                <w:sz w:val="24"/>
                <w:szCs w:val="24"/>
              </w:rPr>
              <w:t xml:space="preserve">дана на адресу Товариства в письмовiй формi або направлена акцiонером у виглядi </w:t>
            </w:r>
            <w:r>
              <w:rPr>
                <w:rFonts w:ascii="Times New Roman CYR" w:hAnsi="Times New Roman CYR" w:cs="Times New Roman CYR"/>
                <w:sz w:val="24"/>
                <w:szCs w:val="24"/>
              </w:rPr>
              <w:lastRenderedPageBreak/>
              <w:t>електронного документу iз засвiдченням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його квалiфiкованим електронним пiдписом акцiонера (iншим засобом, що забезпечує iдентифiкацiю та пiдтвердження направлення документу осо</w:t>
            </w:r>
            <w:r>
              <w:rPr>
                <w:rFonts w:ascii="Times New Roman CYR" w:hAnsi="Times New Roman CYR" w:cs="Times New Roman CYR"/>
                <w:sz w:val="24"/>
                <w:szCs w:val="24"/>
              </w:rPr>
              <w:t>бою) на адресу електронної пошти, зазначену в повiдомленнi про проведення загальних зборiв.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Пропозицiї акцiонерiв (акцiонера), якi сукупно є власниками 5 або бiльше вiдсоткiв голосуючих акцiй, пiдлягають обов'язковому включенню до проекту порядку денного з</w:t>
            </w:r>
            <w:r>
              <w:rPr>
                <w:rFonts w:ascii="Times New Roman CYR" w:hAnsi="Times New Roman CYR" w:cs="Times New Roman CYR"/>
                <w:sz w:val="24"/>
                <w:szCs w:val="24"/>
              </w:rPr>
              <w:t>агальних зборiв.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Рiшення про вiдмову у включеннi до проекту порядку денного загальних зборiв акцiонерного товариства пропозицiй акцiонерiв (акцiонера), яким належать менше 5 вiдсоткiв голосуючих акцiй, може бути прийнято з пiдстав, передбачених статтею 38 </w:t>
            </w:r>
            <w:r>
              <w:rPr>
                <w:rFonts w:ascii="Times New Roman CYR" w:hAnsi="Times New Roman CYR" w:cs="Times New Roman CYR"/>
                <w:sz w:val="24"/>
                <w:szCs w:val="24"/>
              </w:rPr>
              <w:t>Закону України "Про акцiонернi товариства", у разi неподання акцiонерами жодного проекту рiшення iз запропонованих ними питань порядку денного та з iнших пiдстав, визначених статутом акцiонерного товариства та/або положенням про загальнi збори акцiонерного</w:t>
            </w:r>
            <w:r>
              <w:rPr>
                <w:rFonts w:ascii="Times New Roman CYR" w:hAnsi="Times New Roman CYR" w:cs="Times New Roman CYR"/>
                <w:sz w:val="24"/>
                <w:szCs w:val="24"/>
              </w:rPr>
              <w:t xml:space="preserve">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разi подання акцiонером пропозицiї до проекту порядку денного загальних зборiв щодо дострокового припинення повноважень голови колегiального виконавчого органу (особи, яка здiйснює повноваження одноосiбного виконавчого органу) одночасно обов</w:t>
            </w:r>
            <w:r>
              <w:rPr>
                <w:rFonts w:ascii="Times New Roman CYR" w:hAnsi="Times New Roman CYR" w:cs="Times New Roman CYR"/>
                <w:sz w:val="24"/>
                <w:szCs w:val="24"/>
              </w:rPr>
              <w:t>'язково подається пропозицiя щодо кандидатури для обрання голови колегiального виконавчого органу акцiонерного товариства (особи, яка здiйснює повноваження одноосiбного виконавчого органу) або призначення особи, яка тимчасово здiйснюватиме його повноваженн</w:t>
            </w:r>
            <w:r>
              <w:rPr>
                <w:rFonts w:ascii="Times New Roman CYR" w:hAnsi="Times New Roman CYR" w:cs="Times New Roman CYR"/>
                <w:sz w:val="24"/>
                <w:szCs w:val="24"/>
              </w:rPr>
              <w:t>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Детальний регламент проведення загальних зборів визначено статутом та/або внутрішніми документами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Детальний регламент проведення ЗЗА визначено Статутом та Положенням про Загальнi збори акцiонерiв.</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 та р</w:t>
            </w:r>
            <w:r>
              <w:rPr>
                <w:rFonts w:ascii="Times New Roman CYR" w:hAnsi="Times New Roman CYR" w:cs="Times New Roman CYR"/>
                <w:sz w:val="24"/>
                <w:szCs w:val="24"/>
              </w:rPr>
              <w:t xml:space="preserve">ішення загальних зборів (включаючи кількість голосів, поданих "за" та "проти" кожного рішення), а також відповіді </w:t>
            </w:r>
            <w:r>
              <w:rPr>
                <w:rFonts w:ascii="Times New Roman CYR" w:hAnsi="Times New Roman CYR" w:cs="Times New Roman CYR"/>
                <w:sz w:val="24"/>
                <w:szCs w:val="24"/>
              </w:rPr>
              <w:lastRenderedPageBreak/>
              <w:t>на ключові запитання, що були порушені під час загальних зборів, розкриваються протягом 5 робочих днів з дати проведення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про пiдсумки голосування на загальних зборах має бути розкрита на офiцiйному web-сайтi Товариства у iнформацiйнiй мережi Iнтернет протягом </w:t>
            </w:r>
            <w:r>
              <w:rPr>
                <w:rFonts w:ascii="Times New Roman CYR" w:hAnsi="Times New Roman CYR" w:cs="Times New Roman CYR"/>
                <w:sz w:val="24"/>
                <w:szCs w:val="24"/>
              </w:rPr>
              <w:lastRenderedPageBreak/>
              <w:t>5 робочих днiв з дати проведення ЗЗА.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Адреса вебсайту особи забезпечує надання всієї інформації, яка необхідна акціонерам для сприяння їх участі у загальних зборах та інформування про рішення, ухвалені під час загальних зборів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власного веб-сайту, на якому розмiщена iнформацiя з прое</w:t>
            </w:r>
            <w:r>
              <w:rPr>
                <w:rFonts w:ascii="Times New Roman CYR" w:hAnsi="Times New Roman CYR" w:cs="Times New Roman CYR"/>
                <w:sz w:val="24"/>
                <w:szCs w:val="24"/>
              </w:rPr>
              <w:t>ктом рiшень щодо кожного з питань, включених до проекту порядку денного дистанцiйних загальних зборiв Товариства, а також iнформацiя зазначена в ч. 4 ст. 35 Закону України "Про акцiонернi товариства" та пунктi 45 Порядку скликання та проведення дистанцiйни</w:t>
            </w:r>
            <w:r>
              <w:rPr>
                <w:rFonts w:ascii="Times New Roman CYR" w:hAnsi="Times New Roman CYR" w:cs="Times New Roman CYR"/>
                <w:sz w:val="24"/>
                <w:szCs w:val="24"/>
              </w:rPr>
              <w:t>х загальних зборiв акцiонерiв, затвердженого Рiшенням НКЦПФР вiд 06.03.2023 року №236 (iз змiнами та доповненнями): http://00378603.infosite.com.ua/</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взаємодія з акціонерами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 акціонерами, яка визначає параметри взаємовідносин між особою та її акціонерами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Своєчасне розкриття повної та достовiрної iнформацiї про Товариство, в тому числi про його фiнансовий стан, економiчнi по</w:t>
            </w:r>
            <w:r>
              <w:rPr>
                <w:rFonts w:ascii="Times New Roman CYR" w:hAnsi="Times New Roman CYR" w:cs="Times New Roman CYR"/>
                <w:sz w:val="24"/>
                <w:szCs w:val="24"/>
              </w:rPr>
              <w:t xml:space="preserve">казники, значнi подiї, структуру власностi та управлiння з метою забезпечення можливостi прийняття зважених рiшень акцiонерами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Ефективний контроль за фiнансово-господарською дiяльнiстю Товариства з метою захисту прав та законних iнтересiв акц</w:t>
            </w:r>
            <w:r>
              <w:rPr>
                <w:rFonts w:ascii="Times New Roman CYR" w:hAnsi="Times New Roman CYR" w:cs="Times New Roman CYR"/>
                <w:sz w:val="24"/>
                <w:szCs w:val="24"/>
              </w:rPr>
              <w:t xml:space="preserve">iонерiв та робiтникiв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Створено відділ (функцію) з питань взаємодії з інвесторами/акціонерами, який відповідає на запити інвесторів та сприяє участі акціонерів </w:t>
            </w:r>
            <w:r>
              <w:rPr>
                <w:rFonts w:ascii="Times New Roman CYR" w:hAnsi="Times New Roman CYR" w:cs="Times New Roman CYR"/>
                <w:sz w:val="24"/>
                <w:szCs w:val="24"/>
              </w:rPr>
              <w:t>в управлінні особою, а також забезпечує можливість для міноритарних акціонерів донести свої погляди до уваги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поглинання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визначено принципи, як вона діятиме у разі пропозиції щодо поглинання, зокрема: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не вчиняти дії щодо протидії поглинанню без відповідного рішення загальних зборів;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 надавати акціонерам збалансований аналіз недоліків і переваг будь-якої пропозиції щодо </w:t>
            </w:r>
            <w:r>
              <w:rPr>
                <w:rFonts w:ascii="Times New Roman CYR" w:hAnsi="Times New Roman CYR" w:cs="Times New Roman CYR"/>
                <w:sz w:val="24"/>
                <w:szCs w:val="24"/>
              </w:rPr>
              <w:lastRenderedPageBreak/>
              <w:t>поглинання;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загальні збори приймають остаточне рішення про схвалення або відх</w:t>
            </w:r>
            <w:r>
              <w:rPr>
                <w:rFonts w:ascii="Times New Roman CYR" w:hAnsi="Times New Roman CYR" w:cs="Times New Roman CYR"/>
                <w:sz w:val="24"/>
                <w:szCs w:val="24"/>
              </w:rPr>
              <w:t>илення пропозицій щодо поглинання</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 xml:space="preserve">4) інші стейкхолдери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Радою затверджено та розкрито політику взаємодії зі стейкхолдерами, яка визначає параметри взаємовідносин між особою та її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Особою визначено перелік своїх стейкхолдерів, зокрема і тих, з якими необхідно налагодити безпосередню взаємодію</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розкриває звіт щодо аспектів взаємодії зі стейкхолдерами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Наглядова рада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входять до</w:t>
            </w:r>
            <w:r>
              <w:rPr>
                <w:rFonts w:ascii="Times New Roman CYR" w:hAnsi="Times New Roman CYR" w:cs="Times New Roman CYR"/>
                <w:sz w:val="24"/>
                <w:szCs w:val="24"/>
              </w:rPr>
              <w:t xml:space="preserve"> складу наглядових рад у більш ніж 3 інших юридичних особах</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Особа веде облік відвідування засідань наглядової ради та її комітетів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особи та/або її внутрішні документи визначають і пояснюють обов'язок членів наглядової ради сумлінно виконувати свої функції і дотримуватися принципу лояльності стосовно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мають чiтко розумiти власну роль у корпоративно</w:t>
            </w:r>
            <w:r>
              <w:rPr>
                <w:rFonts w:ascii="Times New Roman CYR" w:hAnsi="Times New Roman CYR" w:cs="Times New Roman CYR"/>
                <w:sz w:val="24"/>
                <w:szCs w:val="24"/>
              </w:rPr>
              <w:t xml:space="preserve">му управлiннi та бути здатними неупереджено судити про справи в Товариствi. Для того, щоб дiяльнiсть членiв Наглядової ради була ефективною вони повиннi: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розумiти та виконувати свою наглядову роль, усвiдомлюючи основнi напрямки розвитку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б</w:t>
            </w:r>
            <w:r>
              <w:rPr>
                <w:rFonts w:ascii="Times New Roman CYR" w:hAnsi="Times New Roman CYR" w:cs="Times New Roman CYR"/>
                <w:sz w:val="24"/>
                <w:szCs w:val="24"/>
              </w:rPr>
              <w:t xml:space="preserve">рати самовiдвiд пiд час прийняття рiшень, стосовно яких вони мають конфлiкт iнтересiв;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визначити структуру Наглядової ради з урахуванням її кiлькостi таким чином, щоб забезпечити ефективнiсть її роботи;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придiляти достатньо уваги та зусиль виконанню с</w:t>
            </w:r>
            <w:r>
              <w:rPr>
                <w:rFonts w:ascii="Times New Roman CYR" w:hAnsi="Times New Roman CYR" w:cs="Times New Roman CYR"/>
                <w:sz w:val="24"/>
                <w:szCs w:val="24"/>
              </w:rPr>
              <w:t xml:space="preserve">воїх обов'язкiв;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брати участi в повсякденному керiвництвi роботою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зупинятись у своєму розвитку й забезпечувати належний рiвень експертних знань та компетентностi;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перiодично оцiнювати ефективнiсть власної практики управлiння з урахуванням висування кандидатiв i обрання нових членiв Наглядової ради та Правлiння, управлiння конфлiктами </w:t>
            </w:r>
            <w:r>
              <w:rPr>
                <w:rFonts w:ascii="Times New Roman CYR" w:hAnsi="Times New Roman CYR" w:cs="Times New Roman CYR"/>
                <w:sz w:val="24"/>
                <w:szCs w:val="24"/>
              </w:rPr>
              <w:lastRenderedPageBreak/>
              <w:t xml:space="preserve">iнтересiв, виявлення недолiкiв i вжиття необхiдних заходiв з їх виправлення;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w:t>
            </w:r>
            <w:r>
              <w:rPr>
                <w:rFonts w:ascii="Times New Roman CYR" w:hAnsi="Times New Roman CYR" w:cs="Times New Roman CYR"/>
                <w:sz w:val="24"/>
                <w:szCs w:val="24"/>
              </w:rPr>
              <w:t>рацювати над пiдвищенням ефективностi дiяльностi Товариства, розумiти нормативне середовище, забезпечувати пiдтримання Товариством  дiєвих вiдносин з органами нагляду та з належною професiйною ретельнiстю пiдходити до залучення i нагляду за роботою зовнiшн</w:t>
            </w:r>
            <w:r>
              <w:rPr>
                <w:rFonts w:ascii="Times New Roman CYR" w:hAnsi="Times New Roman CYR" w:cs="Times New Roman CYR"/>
                <w:sz w:val="24"/>
                <w:szCs w:val="24"/>
              </w:rPr>
              <w:t xml:space="preserve">iх аудиторiв.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Наглядовій раді та її членам забезпечена можливість доступу до будь-якої інформації, яка необхідна їй для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Наглядова рада затверджує та переглядає полiтики з управлiння ризиками, операцiй з пов'язаними</w:t>
            </w:r>
            <w:r>
              <w:rPr>
                <w:rFonts w:ascii="Times New Roman CYR" w:hAnsi="Times New Roman CYR" w:cs="Times New Roman CYR"/>
                <w:sz w:val="24"/>
                <w:szCs w:val="24"/>
              </w:rPr>
              <w:t xml:space="preserve"> особами, основними капiтальними витратами та перевiрену аудиторами фiнансову звiтнiсть. Наглядова рада аналiзує результати перевiрки систем внутрiшнього контролю Аудиторським комiтетом Наглядової ради. Наглядова рада також здiйснює монiторинг та управлiнн</w:t>
            </w:r>
            <w:r>
              <w:rPr>
                <w:rFonts w:ascii="Times New Roman CYR" w:hAnsi="Times New Roman CYR" w:cs="Times New Roman CYR"/>
                <w:sz w:val="24"/>
                <w:szCs w:val="24"/>
              </w:rPr>
              <w:t xml:space="preserve">я конфлiктами iнтересiв, що включає в себе затвердження вiдповiдної полiтики.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регулярно оцінює результати діяльності особи та виконавчого органу відповідно до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здiйснює нагляд за роботою Виконавчого органу Тов</w:t>
            </w:r>
            <w:r>
              <w:rPr>
                <w:rFonts w:ascii="Times New Roman CYR" w:hAnsi="Times New Roman CYR" w:cs="Times New Roman CYR"/>
                <w:sz w:val="24"/>
                <w:szCs w:val="24"/>
              </w:rPr>
              <w:t>ариства, виконуючи свiй обов'язок i користуючись своїм правом запитувати й вимагати вiд членiв Правлiння (Одноосiбного органа) чiтких пояснень, а також своєчасно отримувати достатньо iнформацiї для оцiнки якостi його роботи.. Наглядова рада встановлює вина</w:t>
            </w:r>
            <w:r>
              <w:rPr>
                <w:rFonts w:ascii="Times New Roman CYR" w:hAnsi="Times New Roman CYR" w:cs="Times New Roman CYR"/>
                <w:sz w:val="24"/>
                <w:szCs w:val="24"/>
              </w:rPr>
              <w:t xml:space="preserve">городу членам Виконавчого органу беручи до уваги їх функцiї, полiтику оплати працi в Товариствi та ринковi умови з метою залучення та збереження квалiфiкованих працiвникiв.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Наглядова рада контролює ефективнiсть механiзмiв фiнансового операцiйного контролю. Вона має регулярно зустрiчатися з Виконавчим органом та Службою внутрiшнього аудиту (при наявностi) для перегляду полiтик внутрiшнього контролю, створити канали зв'язку та</w:t>
            </w:r>
            <w:r>
              <w:rPr>
                <w:rFonts w:ascii="Times New Roman CYR" w:hAnsi="Times New Roman CYR" w:cs="Times New Roman CYR"/>
                <w:sz w:val="24"/>
                <w:szCs w:val="24"/>
              </w:rPr>
              <w:t xml:space="preserve"> вiдстежувати, як проводиться робота над досягненням поставлених корпоративних цiлей.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Статут особи та/або її внутрішні документи визначають, що наглядова рада не має права </w:t>
            </w:r>
            <w:r>
              <w:rPr>
                <w:rFonts w:ascii="Times New Roman CYR" w:hAnsi="Times New Roman CYR" w:cs="Times New Roman CYR"/>
                <w:sz w:val="24"/>
                <w:szCs w:val="24"/>
              </w:rPr>
              <w:lastRenderedPageBreak/>
              <w:t>втручатися у поточне управління особою, у тому числі у питання, які належать до с</w:t>
            </w:r>
            <w:r>
              <w:rPr>
                <w:rFonts w:ascii="Times New Roman CYR" w:hAnsi="Times New Roman CYR" w:cs="Times New Roman CYR"/>
                <w:sz w:val="24"/>
                <w:szCs w:val="24"/>
              </w:rPr>
              <w:t>фери відповідальності виконавчого органу, крім як у випадках надзвичайних обставин, які визначені належним чином</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 та Статут</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Розмір і навички членів наглядової ради відповідають потребам особи, її розміру та ступеню складнос</w:t>
            </w:r>
            <w:r>
              <w:rPr>
                <w:rFonts w:ascii="Times New Roman CYR" w:hAnsi="Times New Roman CYR" w:cs="Times New Roman CYR"/>
                <w:sz w:val="24"/>
                <w:szCs w:val="24"/>
              </w:rPr>
              <w:t>ті її діяльності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 складу Наглядової ради обирається 3 (три) особи.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визначені і регулярно переглядаються кваліфікаційні вимоги до кандидатів у члени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Відбір та призначення членів наглядової ради відбувається на основі професійних якостей, досягнень і відповідності кандидатів конкретним критеріям, а також з урахуванням необхідності періодичного оновлення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наявна формалізована процедур</w:t>
            </w:r>
            <w:r>
              <w:rPr>
                <w:rFonts w:ascii="Times New Roman CYR" w:hAnsi="Times New Roman CYR" w:cs="Times New Roman CYR"/>
                <w:sz w:val="24"/>
                <w:szCs w:val="24"/>
              </w:rPr>
              <w:t>а перевірки кандидатів у члени наглядової ради, яка зокрема включає перевірку добропорядності, наявності конфлікту інтересів, компетентності, навичок і досвіду кандидата</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Процедура відбору передбачає можливість залучення зовнішніх радників та/або проц</w:t>
            </w:r>
            <w:r>
              <w:rPr>
                <w:rFonts w:ascii="Times New Roman CYR" w:hAnsi="Times New Roman CYR" w:cs="Times New Roman CYR"/>
                <w:sz w:val="24"/>
                <w:szCs w:val="24"/>
              </w:rPr>
              <w:t>ес відкритого пошуку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розробляє плани наступництва для членів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Наглядовою радою затверджено політику щодо різноманіття складу наглядової ради та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Представники однієї зі статей становлять не менше 40 % від складу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Незалежні члени наглядової ради становлять не менше половини від її загального складу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проходять вступний тренінг після їх обрання, який серед іншого покриває:</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 обов'язки, функції і сфери відповідальності членів наглядової ради;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б) незалежність, включаючи </w:t>
            </w:r>
            <w:r>
              <w:rPr>
                <w:rFonts w:ascii="Times New Roman CYR" w:hAnsi="Times New Roman CYR" w:cs="Times New Roman CYR"/>
                <w:sz w:val="24"/>
                <w:szCs w:val="24"/>
              </w:rPr>
              <w:lastRenderedPageBreak/>
              <w:t>незалежність мислення;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порядок роботи наглядової ради;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пи</w:t>
            </w:r>
            <w:r>
              <w:rPr>
                <w:rFonts w:ascii="Times New Roman CYR" w:hAnsi="Times New Roman CYR" w:cs="Times New Roman CYR"/>
                <w:sz w:val="24"/>
                <w:szCs w:val="24"/>
              </w:rPr>
              <w:t>тання відповідальності;</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ґ) питання стратегії особи;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 політики особи, включаючи питання етики, конфлікту інтересів та запобігання корупції;</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е) питання звітності та систем контролю, включаючи внутрішній та зовнішній аудит;</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є) роль 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розробляє план навчання, який визначає, з яких питань необхідно пройти додаткове навчання її членам</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Голову наглядової ради обрано серед незалежних членів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 акцiонер Товариства.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Голові наглядової ради забезпечено можливість для комунікації з акціонерами, у тому числі мажоритарними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Функції голови наглядової ради визначаються у внутрішніх документах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товариства обирається членами Наглядової ради</w:t>
            </w:r>
            <w:r>
              <w:rPr>
                <w:rFonts w:ascii="Times New Roman CYR" w:hAnsi="Times New Roman CYR" w:cs="Times New Roman CYR"/>
                <w:sz w:val="24"/>
                <w:szCs w:val="24"/>
              </w:rPr>
              <w:t xml:space="preserve"> з їх числа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переобрати Голову Наглядової ради.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У разi тимчасової неможливостi виконання Головою Наглядової ради своїх повноваж</w:t>
            </w:r>
            <w:r>
              <w:rPr>
                <w:rFonts w:ascii="Times New Roman CYR" w:hAnsi="Times New Roman CYR" w:cs="Times New Roman CYR"/>
                <w:sz w:val="24"/>
                <w:szCs w:val="24"/>
              </w:rPr>
              <w:t xml:space="preserve">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Створена посада та призначено корпоративного секретаря</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01 травня 2025 року на посаду корпоративного секретаря призначена Пiддубна Олександра Олександрiвна.</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комітети наглядової ради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Наглядовою радою створено комітети та затверджені внутрішні </w:t>
            </w:r>
            <w:r>
              <w:rPr>
                <w:rFonts w:ascii="Times New Roman CYR" w:hAnsi="Times New Roman CYR" w:cs="Times New Roman CYR"/>
                <w:sz w:val="24"/>
                <w:szCs w:val="24"/>
              </w:rPr>
              <w:lastRenderedPageBreak/>
              <w:t>документи, які регулюють їх діяльність</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Комітет з питань аудиту складається з незалежних членів наглядової ради, які мають знання у сфері фінансів, галузевий досвід та </w:t>
            </w:r>
            <w:r>
              <w:rPr>
                <w:rFonts w:ascii="Times New Roman CYR" w:hAnsi="Times New Roman CYR" w:cs="Times New Roman CYR"/>
                <w:sz w:val="24"/>
                <w:szCs w:val="24"/>
              </w:rPr>
              <w:t>досвід з питань бухгалтерського обліку, аудиту, контролю та управлінням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Аудиторський комiтет Наглядової ради буде створено в найкоротший термiн замiсть Ревiзiйної комiсiї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Члени комітету з питань аудиту не входять до складу інших </w:t>
            </w:r>
            <w:r>
              <w:rPr>
                <w:rFonts w:ascii="Times New Roman CYR" w:hAnsi="Times New Roman CYR" w:cs="Times New Roman CYR"/>
                <w:sz w:val="24"/>
                <w:szCs w:val="24"/>
              </w:rPr>
              <w:t>комітетів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призначень складається з незалежних членів наглядової ради, які мають знання в галузі управління людськими ресурсами і навичками пошуку професіоналів до складу наглядової ради і виконавчого органу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Комітет з питань винагороди складається з незалежних членів наглядової ради, які мають знання щодо практик визначення винагороди та заохочення до ефективного виконання обов'язків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Більшість комітету з питань ризиків становлять незалежні члени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В</w:t>
            </w:r>
            <w:r>
              <w:rPr>
                <w:rFonts w:ascii="Times New Roman CYR" w:hAnsi="Times New Roman CYR" w:cs="Times New Roman CYR"/>
                <w:b/>
                <w:bCs/>
                <w:sz w:val="24"/>
                <w:szCs w:val="24"/>
              </w:rPr>
              <w:t>иконавчий орган</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 розробляє стратегію особи, яка затверджується рішенням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(одноосiбний виконавчий орган) Товариства є виконавчим органом Товариства, який органiзовує та здiйснює керiвництво поточною дiяльнiстю Товариства i несе вiдповiдальнiсть за результати своєї роботи перед Наглядовою радою вiдповiдно до Статуту Това</w:t>
            </w:r>
            <w:r>
              <w:rPr>
                <w:rFonts w:ascii="Times New Roman CYR" w:hAnsi="Times New Roman CYR" w:cs="Times New Roman CYR"/>
                <w:sz w:val="24"/>
                <w:szCs w:val="24"/>
              </w:rPr>
              <w:t xml:space="preserve">риства, рiшень загальних зборiв акцiонерiв та Наглядової ради Товариства.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має право без довiреностi здiйснювати будь-якi дiї вiд iменi Товариства,  в тому числi:</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виконавчої в</w:t>
            </w:r>
            <w:r>
              <w:rPr>
                <w:rFonts w:ascii="Times New Roman CYR" w:hAnsi="Times New Roman CYR" w:cs="Times New Roman CYR"/>
                <w:sz w:val="24"/>
                <w:szCs w:val="24"/>
              </w:rPr>
              <w:t>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розробляє проекти рiчного бюджету, програми фiнансово-господарської дiяльностi, </w:t>
            </w:r>
            <w:r>
              <w:rPr>
                <w:rFonts w:ascii="Times New Roman CYR" w:hAnsi="Times New Roman CYR" w:cs="Times New Roman CYR"/>
                <w:sz w:val="24"/>
                <w:szCs w:val="24"/>
              </w:rPr>
              <w:lastRenderedPageBreak/>
              <w:t>штатного розпису та посадових</w:t>
            </w:r>
            <w:r>
              <w:rPr>
                <w:rFonts w:ascii="Times New Roman CYR" w:hAnsi="Times New Roman CYR" w:cs="Times New Roman CYR"/>
                <w:sz w:val="24"/>
                <w:szCs w:val="24"/>
              </w:rPr>
              <w:t xml:space="preserve"> окладiв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w:t>
            </w:r>
            <w:r>
              <w:rPr>
                <w:rFonts w:ascii="Times New Roman CYR" w:hAnsi="Times New Roman CYR" w:cs="Times New Roman CYR"/>
                <w:sz w:val="24"/>
                <w:szCs w:val="24"/>
              </w:rPr>
              <w:t>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акцiонерiв;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w:t>
            </w:r>
            <w:r>
              <w:rPr>
                <w:rFonts w:ascii="Times New Roman CYR" w:hAnsi="Times New Roman CYR" w:cs="Times New Roman CYR"/>
                <w:sz w:val="24"/>
                <w:szCs w:val="24"/>
              </w:rPr>
              <w:t>вi та iншi документи, пов'язанi з поточною дiяльнiстю Товариства, в межах, визначених цим Статутом;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щодо органiзацiї ведення дiловодства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w:t>
            </w:r>
            <w:r>
              <w:rPr>
                <w:rFonts w:ascii="Times New Roman CYR" w:hAnsi="Times New Roman CYR" w:cs="Times New Roman CYR"/>
                <w:sz w:val="24"/>
                <w:szCs w:val="24"/>
              </w:rPr>
              <w:t>ерджує посадовi iнструкцiї та iншi внутрiшнi документи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 становлять комерцiйну таємницю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w:t>
            </w:r>
            <w:r>
              <w:rPr>
                <w:rFonts w:ascii="Times New Roman CYR" w:hAnsi="Times New Roman CYR" w:cs="Times New Roman CYR"/>
                <w:sz w:val="24"/>
                <w:szCs w:val="24"/>
              </w:rPr>
              <w:t>иством своїх зобов'язань за контрактами з третiми особами в межах своїх повноважень;</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 звiтностi та надає її Ревiзiйнiй комiсiї  для складанн</w:t>
            </w:r>
            <w:r>
              <w:rPr>
                <w:rFonts w:ascii="Times New Roman CYR" w:hAnsi="Times New Roman CYR" w:cs="Times New Roman CYR"/>
                <w:sz w:val="24"/>
                <w:szCs w:val="24"/>
              </w:rPr>
              <w:t>я щодо неї висновку до подання рiчної фiнансової звiтностi на розгляд та затвердження Загальним зборам;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укладає правочини вiд iменi </w:t>
            </w:r>
            <w:r>
              <w:rPr>
                <w:rFonts w:ascii="Times New Roman CYR" w:hAnsi="Times New Roman CYR" w:cs="Times New Roman CYR"/>
                <w:sz w:val="24"/>
                <w:szCs w:val="24"/>
              </w:rPr>
              <w:lastRenderedPageBreak/>
              <w:t>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установах, має право першого пiдпису;</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w:t>
            </w:r>
            <w:r>
              <w:rPr>
                <w:rFonts w:ascii="Times New Roman CYR" w:hAnsi="Times New Roman CYR" w:cs="Times New Roman CYR"/>
                <w:sz w:val="24"/>
                <w:szCs w:val="24"/>
              </w:rPr>
              <w:t>дає довiреностi, пiдписує договори й iншi документи вiд iменi Товариства в межах своєї компетенцiї вiдповiдно до цього Статуту;</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заходи заохочення та накладає стягнення вiдповiдно до чинного законо</w:t>
            </w:r>
            <w:r>
              <w:rPr>
                <w:rFonts w:ascii="Times New Roman CYR" w:hAnsi="Times New Roman CYR" w:cs="Times New Roman CYR"/>
                <w:sz w:val="24"/>
                <w:szCs w:val="24"/>
              </w:rPr>
              <w:t>давства  України, Статуту та внутрiшнiх документiв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здiйснює iншi функцiї, якi необхiднi  для забезпечення роботи Товариства, </w:t>
            </w:r>
            <w:r>
              <w:rPr>
                <w:rFonts w:ascii="Times New Roman CYR" w:hAnsi="Times New Roman CYR" w:cs="Times New Roman CYR"/>
                <w:sz w:val="24"/>
                <w:szCs w:val="24"/>
              </w:rPr>
              <w:t>згiдно з чинним законодавством та внутрiшнiми документами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w:t>
            </w:r>
            <w:r>
              <w:rPr>
                <w:rFonts w:ascii="Times New Roman CYR" w:hAnsi="Times New Roman CYR" w:cs="Times New Roman CYR"/>
                <w:sz w:val="24"/>
                <w:szCs w:val="24"/>
              </w:rPr>
              <w:t>'язаних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визначає ключові показн</w:t>
            </w:r>
            <w:r>
              <w:rPr>
                <w:rFonts w:ascii="Times New Roman CYR" w:hAnsi="Times New Roman CYR" w:cs="Times New Roman CYR"/>
                <w:sz w:val="24"/>
                <w:szCs w:val="24"/>
              </w:rPr>
              <w:t>ики ефективності Виконавчому органу для відстеження прогресу у досягненні цілей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здiйснює нагляд за роботою Директора Товариства, виконуючи свiй обов'язок i користуючись своїм правом запитувати й вимагати вiд Директора чiтких поясне</w:t>
            </w:r>
            <w:r>
              <w:rPr>
                <w:rFonts w:ascii="Times New Roman CYR" w:hAnsi="Times New Roman CYR" w:cs="Times New Roman CYR"/>
                <w:sz w:val="24"/>
                <w:szCs w:val="24"/>
              </w:rPr>
              <w:t xml:space="preserve">нь, а також своєчасно отримувати достатньо iнформацiї для оцiнки якостi його роботи. </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регулярно звітує Наглядовій раді про прогрес у впровадженні стратегії особи </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Контроль за дiяльнiстю Директора Товариства здiйснює Наглядова рада Тов</w:t>
            </w:r>
            <w:r>
              <w:rPr>
                <w:rFonts w:ascii="Times New Roman CYR" w:hAnsi="Times New Roman CYR" w:cs="Times New Roman CYR"/>
                <w:sz w:val="24"/>
                <w:szCs w:val="24"/>
              </w:rPr>
              <w:t>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На вимогу Наглядової ради, але не рiдше одного  разу на квартал, Директор має подавати Наглядовiй радi, за її вимогою, у письмовiй формi звiт про фiнансово-господарський стан Товариства та хiд виконання планiв та </w:t>
            </w:r>
            <w:r>
              <w:rPr>
                <w:rFonts w:ascii="Times New Roman CYR" w:hAnsi="Times New Roman CYR" w:cs="Times New Roman CYR"/>
                <w:sz w:val="24"/>
                <w:szCs w:val="24"/>
              </w:rPr>
              <w:lastRenderedPageBreak/>
              <w:t>завдань. За пiдсумками року Дирек</w:t>
            </w:r>
            <w:r>
              <w:rPr>
                <w:rFonts w:ascii="Times New Roman CYR" w:hAnsi="Times New Roman CYR" w:cs="Times New Roman CYR"/>
                <w:sz w:val="24"/>
                <w:szCs w:val="24"/>
              </w:rPr>
              <w:t>тор звiтує перед загальними зборами про свою дiяльнiсть та загальний стан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Виконавчий орган інформує голову Наглядової ради про будь-які значні події, які сталися в період між засіданнями Наглядової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Директор повинен негайно та у повному обсязi iнформувати Наглядову раду про надзвичайнi подiї в дiяльностi Товариства. Iнформацiя, що надається повинна бути повною та достовiрною.</w:t>
            </w: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Винагорода</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w:t>
            </w:r>
            <w:r>
              <w:rPr>
                <w:rFonts w:ascii="Times New Roman CYR" w:hAnsi="Times New Roman CYR" w:cs="Times New Roman CYR"/>
                <w:sz w:val="24"/>
                <w:szCs w:val="24"/>
              </w:rPr>
              <w:t>в ради і виконавчого органу визначена на підставі та відповідає ринковим показникам у галузі для такого виду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для виконавчого органу пов'язаний з результатами діяльності особи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членів ради (невиконавчих директорів) є фіксованою та не залежить від досягнення особою фінансових показників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Розкриття інформації і прозорість</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затверджена та оприлюднена політика щодо розкриття інформації, яка визначає інформацію, що її повинна розкривати особа</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здійснює нагляд за виконавчим органом (виконавчими директорами ради директорів) у підготовці фінансових звітів і забезпечуєскладання фінансових звітів особи відповідно до чинного законодавства та міжнародних ста</w:t>
            </w:r>
            <w:r>
              <w:rPr>
                <w:rFonts w:ascii="Times New Roman CYR" w:hAnsi="Times New Roman CYR" w:cs="Times New Roman CYR"/>
                <w:sz w:val="24"/>
                <w:szCs w:val="24"/>
              </w:rPr>
              <w:t>ндартів фінансової звітності</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Адреса вебсайту особи містить окремий розділ, присвячений виключно питанням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Система контролю і стандарти етики</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створена система внутрішнього контролю, яка відповідає моделі концепції "трьох ліній захисту"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Спецiального документу, яким би описувалися характеристики систем внутрiшнього контролю та управлiння ризиками в Товариствi не створено та не затвердже</w:t>
            </w:r>
            <w:r>
              <w:rPr>
                <w:rFonts w:ascii="Times New Roman CYR" w:hAnsi="Times New Roman CYR" w:cs="Times New Roman CYR"/>
                <w:sz w:val="24"/>
                <w:szCs w:val="24"/>
              </w:rPr>
              <w:t xml:space="preserve">но. Проте при здiйсненнi внутрiшнього контролю використовуються рiзнi методи, вони включають в себе такi елементи, як: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бухгалтерський фiнансовий облiк (iнвентаризацiя i документацiя, рахунки i подвiйний запис);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бухгалтерський управлiнський облi</w:t>
            </w:r>
            <w:r>
              <w:rPr>
                <w:rFonts w:ascii="Times New Roman CYR" w:hAnsi="Times New Roman CYR" w:cs="Times New Roman CYR"/>
                <w:sz w:val="24"/>
                <w:szCs w:val="24"/>
              </w:rPr>
              <w:t xml:space="preserve">к (розподiл обов'язкiв, нормування витрат);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(перевiрка документiв, перевiрка вiрностi арифметичних розрахункiв, перевiрка дотримання правил облiку окремих господарських операцiй, iнвентаризацiя, усне опитування персоналу, пiд</w:t>
            </w:r>
            <w:r>
              <w:rPr>
                <w:rFonts w:ascii="Times New Roman CYR" w:hAnsi="Times New Roman CYR" w:cs="Times New Roman CYR"/>
                <w:sz w:val="24"/>
                <w:szCs w:val="24"/>
              </w:rPr>
              <w:t xml:space="preserve">твердження i простежування).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перерахованi вище методи становлять єдину систему i використовуються в цiлях управлiння пiдприємством.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w:t>
            </w:r>
            <w:r>
              <w:rPr>
                <w:rFonts w:ascii="Times New Roman CYR" w:hAnsi="Times New Roman CYR" w:cs="Times New Roman CYR"/>
                <w:sz w:val="24"/>
                <w:szCs w:val="24"/>
              </w:rPr>
              <w:t xml:space="preserve"> в процесi звичайної дiяльностi Товариства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ринковий ризик: змiни на ринку можуть iстотно вплинути на активи/зобов'язання. Ринковий ризик складається з ризику процентної ставки i цiнового ризику;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ризик втрати лiквiдностi: товариство може не виконати своїх зобов'язань з причини недостатностi (дефiциту) обiгових коштiв; тож за певних несприятливих обставин, може бути змушене продати свої активи за бiльш низькою цiною, нiж їхня справедлива вартiсть</w:t>
            </w:r>
            <w:r>
              <w:rPr>
                <w:rFonts w:ascii="Times New Roman CYR" w:hAnsi="Times New Roman CYR" w:cs="Times New Roman CYR"/>
                <w:sz w:val="24"/>
                <w:szCs w:val="24"/>
              </w:rPr>
              <w:t xml:space="preserve">, з метою погашення зобов'язань;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кредитний ризик: товариство може зазнати збиткiв у разi невиконання фiнансових зобов'язань контрагентами </w:t>
            </w:r>
            <w:r>
              <w:rPr>
                <w:rFonts w:ascii="Times New Roman CYR" w:hAnsi="Times New Roman CYR" w:cs="Times New Roman CYR"/>
                <w:sz w:val="24"/>
                <w:szCs w:val="24"/>
              </w:rPr>
              <w:lastRenderedPageBreak/>
              <w:t xml:space="preserve">(дебiторами).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фiнансовi iнструменти схильнi до ринкового ризику - ризику того, що майб</w:t>
            </w:r>
            <w:r>
              <w:rPr>
                <w:rFonts w:ascii="Times New Roman CYR" w:hAnsi="Times New Roman CYR" w:cs="Times New Roman CYR"/>
                <w:sz w:val="24"/>
                <w:szCs w:val="24"/>
              </w:rPr>
              <w:t>утнi ринковi умови можуть знецiнити iнструмент. Пiдприємство пiддається валютному ризику, тому що у звiтному роцi здiйснювало валютнi операцiї i має валютнi залишки та заборгованостi. Цiновим ризиком є ризик того, що вартiсть фiнансового iнструмента буде з</w:t>
            </w:r>
            <w:r>
              <w:rPr>
                <w:rFonts w:ascii="Times New Roman CYR" w:hAnsi="Times New Roman CYR" w:cs="Times New Roman CYR"/>
                <w:sz w:val="24"/>
                <w:szCs w:val="24"/>
              </w:rPr>
              <w:t>мiнюватися внаслiдок змiн ринкових цiн. Цi змiни можуть бути викликанi факторами, характерними для окремого iнструменту або факторами, якi впливають на всi iнструменти ринку. Процентних фiнансових зобов'язань немає. Пiдприємство не пiддається ризику колива</w:t>
            </w:r>
            <w:r>
              <w:rPr>
                <w:rFonts w:ascii="Times New Roman CYR" w:hAnsi="Times New Roman CYR" w:cs="Times New Roman CYR"/>
                <w:sz w:val="24"/>
                <w:szCs w:val="24"/>
              </w:rPr>
              <w:t xml:space="preserve">ння процентних ставок, оскiльки не має кредитiв.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лiквiдностi та вживає заходiв, для запобiгання зниження встановлених показникiв лiквiдностi. Товариство має доступ до фi</w:t>
            </w:r>
            <w:r>
              <w:rPr>
                <w:rFonts w:ascii="Times New Roman CYR" w:hAnsi="Times New Roman CYR" w:cs="Times New Roman CYR"/>
                <w:sz w:val="24"/>
                <w:szCs w:val="24"/>
              </w:rPr>
              <w:t>нансування у достатньому обсязi. Пiдприємство здiйснює контроль лiквiдностi, шляхом планування поточної лiквiдностi. Пiдприємство аналiзує термiни платежiв, якi пов'язанi з дебiторською заборгованiстю та iншими фiнансовими активами,  а також прогнознi пото</w:t>
            </w:r>
            <w:r>
              <w:rPr>
                <w:rFonts w:ascii="Times New Roman CYR" w:hAnsi="Times New Roman CYR" w:cs="Times New Roman CYR"/>
                <w:sz w:val="24"/>
                <w:szCs w:val="24"/>
              </w:rPr>
              <w:t xml:space="preserve">ки грошових коштiв вiд операцiйної дiяльностi.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мiнiмазацiї ризикiв, спираючись на власнi знання та досвiд, та застосовуючи наявнi ресурси.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Кредитний риз</w:t>
            </w:r>
            <w:r>
              <w:rPr>
                <w:rFonts w:ascii="Times New Roman CYR" w:hAnsi="Times New Roman CYR" w:cs="Times New Roman CYR"/>
                <w:sz w:val="24"/>
                <w:szCs w:val="24"/>
              </w:rPr>
              <w:t xml:space="preserve">ик  </w:t>
            </w:r>
            <w:r>
              <w:rPr>
                <w:rFonts w:ascii="Times New Roman CYR" w:hAnsi="Times New Roman CYR" w:cs="Times New Roman CYR"/>
                <w:sz w:val="24"/>
                <w:szCs w:val="24"/>
              </w:rPr>
              <w:tab/>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Пiдприємство схильне до кредитного ризику, який виражається як ризик того, що контрагент - дебiтор не буде здатний </w:t>
            </w:r>
            <w:r>
              <w:rPr>
                <w:rFonts w:ascii="Times New Roman CYR" w:hAnsi="Times New Roman CYR" w:cs="Times New Roman CYR"/>
                <w:sz w:val="24"/>
                <w:szCs w:val="24"/>
              </w:rPr>
              <w:lastRenderedPageBreak/>
              <w:t>в повному обсязi i в певний час погасити свої зобов'язання. Кредитний ризик регулярно контролюється. Управлiння кредитним ризиком здi</w:t>
            </w:r>
            <w:r>
              <w:rPr>
                <w:rFonts w:ascii="Times New Roman CYR" w:hAnsi="Times New Roman CYR" w:cs="Times New Roman CYR"/>
                <w:sz w:val="24"/>
                <w:szCs w:val="24"/>
              </w:rPr>
              <w:t>йснюється, в основному, за допомогою аналiзу здатностi контрагента сплатити заборгованiсть. Пiдприємство укладає угоди виключно з вiдомими та фiнансово стабiльними  сторонами. Кредитний ризик стосується дебiторської заборгованостi. Дебiторська заборгованiс</w:t>
            </w:r>
            <w:r>
              <w:rPr>
                <w:rFonts w:ascii="Times New Roman CYR" w:hAnsi="Times New Roman CYR" w:cs="Times New Roman CYR"/>
                <w:sz w:val="24"/>
                <w:szCs w:val="24"/>
              </w:rPr>
              <w:t xml:space="preserve">ть регулярно перевiряється на iснування ознак знецiнення, створюються резерви пiд знецiнення за необхiдностi.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Крiм зазначених вище, суттєвий вплив на дiяльнiсть Товариства можуть мати такi зовнiшнi ризики, як: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нестабiльнiсть, суперечливiсть законо</w:t>
            </w:r>
            <w:r>
              <w:rPr>
                <w:rFonts w:ascii="Times New Roman CYR" w:hAnsi="Times New Roman CYR" w:cs="Times New Roman CYR"/>
                <w:sz w:val="24"/>
                <w:szCs w:val="24"/>
              </w:rPr>
              <w:t xml:space="preserve">давства;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Рада (невиконавчі директори ради директорів) має механізми внутрішнього контролю особи, маючи змогу залучити внутрішнього аудитора та зовнішнього аудитора</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Функція комплаєнс та ризик-менеджменту підзвітна раді (невиконавчим директорам ради директорів)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політику з питань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декларацію схильності до ризиків</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Рада (невиконавчі директори ради директорів) розглядає звіт щодо управління ризиками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кодекс етики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 особі забезпечено можливість </w:t>
            </w:r>
            <w:r>
              <w:rPr>
                <w:rFonts w:ascii="Times New Roman CYR" w:hAnsi="Times New Roman CYR" w:cs="Times New Roman CYR"/>
                <w:sz w:val="24"/>
                <w:szCs w:val="24"/>
              </w:rPr>
              <w:lastRenderedPageBreak/>
              <w:t>анонімно і безпечно повідомляти про неправомірну чи неетичну поведінку</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В особі затверджено та оприлюднено політику щодо запобігання корупції</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затверджено та оприлюднено політику щодо конфлікту інтересів, яка покриває такі питання:</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 конфлікту інтересів, запобігання і управління конфліктом інтересів;</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 правочинів із заінтересованістю;</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інсайдерської торгівлі; та</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 зловживання службовим становищем</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3"/>
            <w:tcBorders>
              <w:top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Оцінка корпоративного управління</w:t>
            </w: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 особі формалізована процедура щорічної самооцінки членів ради</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результатами щорічної самооцінки членів ради розробляється план дій для підвищення ефективності роботи членів ради та практик корпоративного управління</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4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Кожні три роки проводиться комплексна оцінка системи корпоративного управління із залученням нез</w:t>
            </w:r>
            <w:r>
              <w:rPr>
                <w:rFonts w:ascii="Times New Roman CYR" w:hAnsi="Times New Roman CYR" w:cs="Times New Roman CYR"/>
                <w:sz w:val="24"/>
                <w:szCs w:val="24"/>
              </w:rPr>
              <w:t>алежного зовнішнього експерта</w:t>
            </w:r>
          </w:p>
        </w:tc>
        <w:tc>
          <w:tcPr>
            <w:tcW w:w="1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4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4. Рада</w:t>
      </w: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Персональний склад ради та її комітетів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150"/>
        <w:gridCol w:w="1150"/>
        <w:gridCol w:w="1150"/>
        <w:gridCol w:w="1150"/>
        <w:gridCol w:w="1150"/>
        <w:gridCol w:w="1250"/>
      </w:tblGrid>
      <w:tr w:rsidR="00000000">
        <w:tblPrEx>
          <w:tblCellMar>
            <w:top w:w="0" w:type="dxa"/>
            <w:bottom w:w="0" w:type="dxa"/>
          </w:tblCellMar>
        </w:tblPrEx>
        <w:trPr>
          <w:trHeight w:val="200"/>
        </w:trPr>
        <w:tc>
          <w:tcPr>
            <w:tcW w:w="3000" w:type="dxa"/>
            <w:vMerge w:val="restart"/>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члена ради, строк повноважень у звітному періоді</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150" w:type="dxa"/>
            <w:vMerge w:val="restart"/>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заступник голови ради</w:t>
            </w:r>
          </w:p>
        </w:tc>
        <w:tc>
          <w:tcPr>
            <w:tcW w:w="3550" w:type="dxa"/>
            <w:gridSpan w:val="3"/>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ab/>
              <w:t>Голова / член комітету ради</w:t>
            </w:r>
          </w:p>
        </w:tc>
      </w:tr>
      <w:tr w:rsidR="00000000">
        <w:tblPrEx>
          <w:tblCellMar>
            <w:top w:w="0" w:type="dxa"/>
            <w:bottom w:w="0" w:type="dxa"/>
          </w:tblCellMar>
        </w:tblPrEx>
        <w:trPr>
          <w:trHeight w:val="200"/>
        </w:trPr>
        <w:tc>
          <w:tcPr>
            <w:tcW w:w="3000" w:type="dxa"/>
            <w:vMerge/>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vMerge/>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- 1</w:t>
            </w:r>
          </w:p>
        </w:tc>
        <w:tc>
          <w:tcPr>
            <w:tcW w:w="11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- 2</w:t>
            </w:r>
          </w:p>
        </w:tc>
        <w:tc>
          <w:tcPr>
            <w:tcW w:w="125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Назва комітету - 3</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Бевза олена Олексiївна</w:t>
            </w: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w:t>
            </w: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Алла Сергiївна</w:t>
            </w: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15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25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проведені засідання ради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80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Кількість засідань ради у звітному періоді:</w:t>
            </w:r>
          </w:p>
        </w:tc>
        <w:tc>
          <w:tcPr>
            <w:tcW w:w="8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очних:</w:t>
            </w:r>
          </w:p>
        </w:tc>
        <w:tc>
          <w:tcPr>
            <w:tcW w:w="8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них заочних:</w:t>
            </w:r>
          </w:p>
        </w:tc>
        <w:tc>
          <w:tcPr>
            <w:tcW w:w="8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ради:</w:t>
            </w:r>
          </w:p>
        </w:tc>
        <w:tc>
          <w:tcPr>
            <w:tcW w:w="80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14 лютого 2025 р. ,   66,67 %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w:t>
            </w:r>
            <w:r>
              <w:rPr>
                <w:rFonts w:ascii="Times New Roman CYR" w:hAnsi="Times New Roman CYR" w:cs="Times New Roman CYR"/>
              </w:rPr>
              <w:t>адовiльним. Затвердити рiчний звiт та фiнансову звiтнiсть Товариства  за 2024 р.</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12 березня 2025 року,66,67 %Провести Загальни збори акцiонерiв ПрАТ "Березаньпродтовари" дистанцiйно 18 квiтня 2025 року та призначити директора товариства Роднєнкова Володимира Володимировича уповноваженим на взаємодiю з Центральним депозитарiєм при прове</w:t>
            </w:r>
            <w:r>
              <w:rPr>
                <w:rFonts w:ascii="Times New Roman CYR" w:hAnsi="Times New Roman CYR" w:cs="Times New Roman CYR"/>
              </w:rPr>
              <w:t>деннi загальних зборiв дистанцiйно.</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12 березня  2025 р. , 66,67 %, </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1.Затвердження порядку денного та порядку проведення засiдання Наглядової ради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2.Скликання та затвердження порядку денного дистанцiйних загальних зборiв акцiон</w:t>
            </w:r>
            <w:r>
              <w:rPr>
                <w:rFonts w:ascii="Times New Roman CYR" w:hAnsi="Times New Roman CYR" w:cs="Times New Roman CYR"/>
              </w:rPr>
              <w:t>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3.Затвердження проектiв рiшень щодо порядку денного дистанцiйних загальних зборiв акцiонерiв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4.Затвердження складу реєстрацiйної комiсiї дистанцiйних загальних зборiв акцiонерiв ПрАТ "Березаньпродт</w:t>
            </w:r>
            <w:r>
              <w:rPr>
                <w:rFonts w:ascii="Times New Roman CYR" w:hAnsi="Times New Roman CYR" w:cs="Times New Roman CYR"/>
              </w:rPr>
              <w:t>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5.Затвердження форми бюлетенiв для голосування на дистанцiйних загальних зборах акцiонерiв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25 квiтня 2025 р., 66,67 %, Прийняти до вiдома iнформацiю та призначити наказом по Товариству з 01 травня 2025 року Пiддубну Олек</w:t>
            </w:r>
            <w:r>
              <w:rPr>
                <w:rFonts w:ascii="Times New Roman CYR" w:hAnsi="Times New Roman CYR" w:cs="Times New Roman CYR"/>
              </w:rPr>
              <w:t>сандру Олексаандрiвну корпоративним секретарем ПрАТ "Березаньпродтовари" (за сумiсництвом).</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05 травня 2025 р.,66,67 %,Визнати поточний фiнансовий стан Товариства задовiльним. Визнати стан платежiв до бюджету задовiльним. Визнати стан кредиторської та дебi</w:t>
            </w:r>
            <w:r>
              <w:rPr>
                <w:rFonts w:ascii="Times New Roman CYR" w:hAnsi="Times New Roman CYR" w:cs="Times New Roman CYR"/>
              </w:rPr>
              <w:t>торської заборгованостi задовiльним. Затвердити фiнансову звiтнiсть Товариства  за 1 квартал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липня 2025 р., 66,67 %, Визнати поточний фiнансовий стан Товариства задовiльним. Визнати стан платежiв до бюджету задовiльним. Визнати стан кредитор</w:t>
            </w:r>
            <w:r>
              <w:rPr>
                <w:rFonts w:ascii="Times New Roman CYR" w:hAnsi="Times New Roman CYR" w:cs="Times New Roman CYR"/>
              </w:rPr>
              <w:t>ської та дебiторської заборгованостi задовiльним. Затвердити фiнансову звiтнiсть Товариства  за перше пiврiччя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25 серпня 2025 р., 66,67 %, Прийняти до вiдома iнформацiю щодо звернень акцiонерiв.</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15 жовтня 2025 р., 66,67%, Визнати поточний фiна</w:t>
            </w:r>
            <w:r>
              <w:rPr>
                <w:rFonts w:ascii="Times New Roman CYR" w:hAnsi="Times New Roman CYR" w:cs="Times New Roman CYR"/>
              </w:rPr>
              <w:t>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3 квартал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24 листопада 2025 р., 66,67%, Прийн</w:t>
            </w:r>
            <w:r>
              <w:rPr>
                <w:rFonts w:ascii="Times New Roman CYR" w:hAnsi="Times New Roman CYR" w:cs="Times New Roman CYR"/>
              </w:rPr>
              <w:t>яти до вiдома iнформацiю про виконання рiшень загальних зборiв акцiонерiв ПрАТ"Березаньпродтовари".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ради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Бевза Олена Олексiївна, обрана Головою наглядової ради Загальними зборами акцiонерiв 18.04.2025 р.  (Протокол загальних зборiв акцiонерiв № 2025/04/18 вiд 18.04.2025 р.) термiном на 3 роки.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Бевза Олена Олексiївна</w:t>
      </w:r>
      <w:r>
        <w:rPr>
          <w:rFonts w:ascii="Times New Roman CYR" w:hAnsi="Times New Roman CYR" w:cs="Times New Roman CYR"/>
          <w:sz w:val="24"/>
          <w:szCs w:val="24"/>
        </w:rPr>
        <w:t xml:space="preserve"> має вищу освiту. Закiнчила магiстратуру Київського нацiонального економiчного унiверситету та отримала  квалiфiкацiю магiстра мiжнародної iнвестицiйної дiяльностi та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Загальний стаж роботи - 24 роки. З 2009 року по червень 2020 року  займала пос</w:t>
      </w:r>
      <w:r>
        <w:rPr>
          <w:rFonts w:ascii="Times New Roman CYR" w:hAnsi="Times New Roman CYR" w:cs="Times New Roman CYR"/>
          <w:sz w:val="24"/>
          <w:szCs w:val="24"/>
        </w:rPr>
        <w:t xml:space="preserve">аду Першого </w:t>
      </w:r>
      <w:r>
        <w:rPr>
          <w:rFonts w:ascii="Times New Roman CYR" w:hAnsi="Times New Roman CYR" w:cs="Times New Roman CYR"/>
          <w:sz w:val="24"/>
          <w:szCs w:val="24"/>
        </w:rPr>
        <w:lastRenderedPageBreak/>
        <w:t>заступника Генерального директора Товарної бiржи "Унiверсальна товарно-сировинна бiржа".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компетентною та високопрофесiйною Головою наглядової ради,яка демонструє найвищi дiловi,iнтелектуальнi,органiзаторськi та моральнi якостi та рис</w:t>
      </w:r>
      <w:r>
        <w:rPr>
          <w:rFonts w:ascii="Times New Roman CYR" w:hAnsi="Times New Roman CYR" w:cs="Times New Roman CYR"/>
          <w:sz w:val="24"/>
          <w:szCs w:val="24"/>
        </w:rPr>
        <w:t xml:space="preserve">и,є досвiдченим спецiалiстом та надiлена необхiдними здiбностями для успiшного виконання покладених на неї функцiй при високому рiвнi вiдповiдальностi.Здiйснує широкий спектр повноважень Голови Наглядової ради,якi полягають у органiзацiї роботи Наглядової </w:t>
      </w:r>
      <w:r>
        <w:rPr>
          <w:rFonts w:ascii="Times New Roman CYR" w:hAnsi="Times New Roman CYR" w:cs="Times New Roman CYR"/>
          <w:sz w:val="24"/>
          <w:szCs w:val="24"/>
        </w:rPr>
        <w:t>ради,скликання засiдань ради,головування на засiданнях ради,виконання функцiй вiдкриття Загальних зборiв акцiонерiв,органiзацiя проведення засiдань наглядової ради  та направлення дiй Директора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w:t>
      </w:r>
      <w:r>
        <w:rPr>
          <w:rFonts w:ascii="Times New Roman CYR" w:hAnsi="Times New Roman CYR" w:cs="Times New Roman CYR"/>
          <w:sz w:val="24"/>
          <w:szCs w:val="24"/>
        </w:rPr>
        <w:t xml:space="preserve"> Анна Юрiївна, обрана членом наглядової ради Загальними зборами акцiонерiв 18.04.2025 р.  (Протокол загальних зборiв акцiонерiв № 2025/04/18 вiд 18.04.2025 р.) термiном на 3 роки.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Анна Юрiївна має вищу освiту.Закiнчила в 2005 роцi Київ</w:t>
      </w:r>
      <w:r>
        <w:rPr>
          <w:rFonts w:ascii="Times New Roman CYR" w:hAnsi="Times New Roman CYR" w:cs="Times New Roman CYR"/>
          <w:sz w:val="24"/>
          <w:szCs w:val="24"/>
        </w:rPr>
        <w:t>ський нацiональний економiчний унiверситет за фахом магiстра мiжнародного iнвестицiйного менеджменту.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займала  посаду заступника Генерального директораТБ УТСБ по фiнансам.Загальний стаж роботи 17 рокiв.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спецiалiстом та </w:t>
      </w:r>
      <w:r>
        <w:rPr>
          <w:rFonts w:ascii="Times New Roman CYR" w:hAnsi="Times New Roman CYR" w:cs="Times New Roman CYR"/>
          <w:sz w:val="24"/>
          <w:szCs w:val="24"/>
        </w:rPr>
        <w:t>володiє як широким спектром знань,що робить її ефективним управлiнцем,так i надiлену високим рiвнем незалежностi вiд iнших членiв Наглядової ради,акцiонерiв тощо,що дозволяє їй не ангажовано оцiнювати ризики,що виникають в дiяльностi Товариства та приймати</w:t>
      </w:r>
      <w:r>
        <w:rPr>
          <w:rFonts w:ascii="Times New Roman CYR" w:hAnsi="Times New Roman CYR" w:cs="Times New Roman CYR"/>
          <w:sz w:val="24"/>
          <w:szCs w:val="24"/>
        </w:rPr>
        <w:t xml:space="preserve"> справедливi та кориснi для товариства рiшення без вiдстоювання своїх особистих iнтересiв чи iнтересiв третiх осiб.</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Алла Сергiївна, обраний членом наглядової ради Загальними зборами акцiонерiв 18.04.2025 р.  (Протокол загальних зборiв акцiонерiв № 2025/04/18 вiд 18.04.2025 р.) термiном на 3 роки.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Алла Сергiївна</w:t>
      </w:r>
      <w:r>
        <w:rPr>
          <w:rFonts w:ascii="Times New Roman CYR" w:hAnsi="Times New Roman CYR" w:cs="Times New Roman CYR"/>
          <w:sz w:val="24"/>
          <w:szCs w:val="24"/>
        </w:rPr>
        <w:t xml:space="preserve"> в 2001 роцi закiнчила Київський iнститут тууризму,економики i права i отримала повну вищу освiту за спецiальнiстю "Правознавство" та отримала квалiфiкацiю юриста.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2002 року працювала фiнансовим спецiалiстом в ТБ "УТСБ" , з 2020 року фiзична осо</w:t>
      </w:r>
      <w:r>
        <w:rPr>
          <w:rFonts w:ascii="Times New Roman CYR" w:hAnsi="Times New Roman CYR" w:cs="Times New Roman CYR"/>
          <w:sz w:val="24"/>
          <w:szCs w:val="24"/>
        </w:rPr>
        <w:t>ба-пiдприємець.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час викконання обов'язкiв члена Наглядової ради,надiлена необхiдним станом свiдомостi ,що дозволяє приймати виваженi та неупередженi рiшення пiд час</w:t>
      </w:r>
      <w:r>
        <w:rPr>
          <w:rFonts w:ascii="Times New Roman CYR" w:hAnsi="Times New Roman CYR" w:cs="Times New Roman CYR"/>
          <w:sz w:val="24"/>
          <w:szCs w:val="24"/>
        </w:rPr>
        <w:t xml:space="preserve"> роботи Наглядової ради та чiтко розумiє важливiсть наявностi та висловлювання незалежної думки та позiцiї пiд час здiйснення захисту прав акцiонерiв Товариства,надiлена здатнiстю неупереджено судити про процеси,що вiдбуваються в Товариствi з метою досягне</w:t>
      </w:r>
      <w:r>
        <w:rPr>
          <w:rFonts w:ascii="Times New Roman CYR" w:hAnsi="Times New Roman CYR" w:cs="Times New Roman CYR"/>
          <w:sz w:val="24"/>
          <w:szCs w:val="24"/>
        </w:rPr>
        <w:t>ння максимальної ефективностi роботи наглядової ради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Товариства є незалежними бо вiдповiдають наступним критерiям незалежностi: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попереднiх 5 рокiв афiлiйованою особою ак</w:t>
      </w:r>
      <w:r>
        <w:rPr>
          <w:rFonts w:ascii="Times New Roman CYR" w:hAnsi="Times New Roman CYR" w:cs="Times New Roman CYR"/>
          <w:sz w:val="24"/>
          <w:szCs w:val="24"/>
        </w:rPr>
        <w:t>цiонерiв та/або товариства та/або посадовою особою цього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одержують iстотну додаткову винагороду вiд товариства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вiдносин iз товариством;</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незалежного </w:t>
      </w:r>
      <w:r>
        <w:rPr>
          <w:rFonts w:ascii="Times New Roman CYR" w:hAnsi="Times New Roman CYR" w:cs="Times New Roman CYR"/>
          <w:sz w:val="24"/>
          <w:szCs w:val="24"/>
        </w:rPr>
        <w:t>аудитора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афiлiйованим до цього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ситуацiях, зазначених у цьому пунктi.</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 </w:t>
      </w:r>
      <w:r>
        <w:rPr>
          <w:rFonts w:ascii="Times New Roman CYR" w:hAnsi="Times New Roman CYR" w:cs="Times New Roman CYR"/>
          <w:sz w:val="24"/>
          <w:szCs w:val="24"/>
        </w:rPr>
        <w:t>звiтнолму перiодi Наглядова рада мала 8 (вiсiм) засiдань.Основнi прийнятi рiшення Наглядової ради: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14 лютого 2025 р. ,   66,67 % , Визнати поточний фiнансовий стан Товариства задовiльним. Визнати стан платежiв до бюджету задовiльним. Визнати стан кредитор</w:t>
      </w:r>
      <w:r>
        <w:rPr>
          <w:rFonts w:ascii="Times New Roman CYR" w:hAnsi="Times New Roman CYR" w:cs="Times New Roman CYR"/>
          <w:sz w:val="24"/>
          <w:szCs w:val="24"/>
        </w:rPr>
        <w:t>ської та дебiторської заборгованостi задовiльним. Затвердити рiчний звiт та фiнансову звiтнiсть Товариства  за 2024 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12 березня 2025 року,66,67 %Провести Загальни збори акцiонерiв ПрАТ "Березаньпродтовари" дистанцiйно 18 квiтня 2025 року та призначити </w:t>
      </w:r>
      <w:r>
        <w:rPr>
          <w:rFonts w:ascii="Times New Roman CYR" w:hAnsi="Times New Roman CYR" w:cs="Times New Roman CYR"/>
          <w:sz w:val="24"/>
          <w:szCs w:val="24"/>
        </w:rPr>
        <w:t>директора товариства Роднєнкова Володимира Володимировича уповноваженим на взаємодiю з Центральним депозитарiєм при проведеннi загальних зборiв дистанцiйно.</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12 березня  2025 р. , 66,67 %,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1.Затвердження порядку денного та порядку проведення засiдання Наг</w:t>
      </w:r>
      <w:r>
        <w:rPr>
          <w:rFonts w:ascii="Times New Roman CYR" w:hAnsi="Times New Roman CYR" w:cs="Times New Roman CYR"/>
          <w:sz w:val="24"/>
          <w:szCs w:val="24"/>
        </w:rPr>
        <w:t>лядової ради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денного дистанцiйних загальних зборiв акцiонерiв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дистанцiйних загальних зборiв акцiонерiв ПрАТ "Бере</w:t>
      </w:r>
      <w:r>
        <w:rPr>
          <w:rFonts w:ascii="Times New Roman CYR" w:hAnsi="Times New Roman CYR" w:cs="Times New Roman CYR"/>
          <w:sz w:val="24"/>
          <w:szCs w:val="24"/>
        </w:rPr>
        <w:t>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4.Затвердження складу реєстрацiйної комiсiї дистанцiйних загальних зборiв акцiонерiв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5.Затвердження форми бюлетенiв для голосування на дистанцiйних загальних зборах акцiонерiв ПрАТ "Березаньпродтовари".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25 квiтня 2025 р., 66,67 %, Прийняти до вiдома iнформацiю та призначити наказом по Товариству з 01 травня 2025 року Пiддубну Олександру Олексаандрiвну корпоративним секретарем ПрАТ "Березаньпродтовари" (за сумiсництвом).</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05 травня 2025 р.,66,67 %,Визнати </w:t>
      </w:r>
      <w:r>
        <w:rPr>
          <w:rFonts w:ascii="Times New Roman CYR" w:hAnsi="Times New Roman CYR" w:cs="Times New Roman CYR"/>
          <w:sz w:val="24"/>
          <w:szCs w:val="24"/>
        </w:rPr>
        <w:t>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липня 2025 р., 66,6</w:t>
      </w:r>
      <w:r>
        <w:rPr>
          <w:rFonts w:ascii="Times New Roman CYR" w:hAnsi="Times New Roman CYR" w:cs="Times New Roman CYR"/>
          <w:sz w:val="24"/>
          <w:szCs w:val="24"/>
        </w:rPr>
        <w:t>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перше пiврiччя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25 с</w:t>
      </w:r>
      <w:r>
        <w:rPr>
          <w:rFonts w:ascii="Times New Roman CYR" w:hAnsi="Times New Roman CYR" w:cs="Times New Roman CYR"/>
          <w:sz w:val="24"/>
          <w:szCs w:val="24"/>
        </w:rPr>
        <w:t>ерпня 2025 р., 66,67 %, Прийняти до вiдома iнформацiю щодо звернень акцiонерiв.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 жовтня 2025 р., 66,67%, Визнати поточний фiнансовий стан Товариства задовiльним. Визнати стан платежiв до бюджету задовiльним. Визнати стан кредиторської та дебiторської за</w:t>
      </w:r>
      <w:r>
        <w:rPr>
          <w:rFonts w:ascii="Times New Roman CYR" w:hAnsi="Times New Roman CYR" w:cs="Times New Roman CYR"/>
          <w:sz w:val="24"/>
          <w:szCs w:val="24"/>
        </w:rPr>
        <w:t>боргованостi задовiльним. Затвердити фiнансову звiтнiсть Товариства  за 3 квартал 2025 року.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24 листопада 2025 р., 66,67%, Прийняти до вiдома iнформацiю про виконання рiшень загальних зборiв акцiонерiв ПрАТ"Березаньпродтовари".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Головною метою дiяльност</w:t>
      </w:r>
      <w:r>
        <w:rPr>
          <w:rFonts w:ascii="Times New Roman CYR" w:hAnsi="Times New Roman CYR" w:cs="Times New Roman CYR"/>
          <w:sz w:val="24"/>
          <w:szCs w:val="24"/>
        </w:rPr>
        <w:t>i Наглядової ради в звiтному перiодi є представництво iнтересiв та захист прав акцiонерiв,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забезпечення ефективностi їхнiх iнвестицiй, сприяння реалiзацiї статутних завдань Товариства, розробка стратегiї, спрямованої на збiльшення прибутковостi та конкурен</w:t>
      </w:r>
      <w:r>
        <w:rPr>
          <w:rFonts w:ascii="Times New Roman CYR" w:hAnsi="Times New Roman CYR" w:cs="Times New Roman CYR"/>
          <w:sz w:val="24"/>
          <w:szCs w:val="24"/>
        </w:rPr>
        <w:t>тоспроможностi Товариства, здiйснення контролю за дiяльнiстю Виконвчого органа.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одноосібний виконавчий орган та загальний опис прийнятих рішень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Ім'я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Володимирович,3 роки</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 ключових рішень керівника</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Директор Товариства має великий опит керування персоналом ,усвоїй дiяльностi строго керується повноваженнями наданi  законами України ,Статутом та вiдповiдними документами.</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Пiсля припинення виробни</w:t>
            </w:r>
            <w:r>
              <w:rPr>
                <w:rFonts w:ascii="Times New Roman CYR" w:hAnsi="Times New Roman CYR" w:cs="Times New Roman CYR"/>
              </w:rPr>
              <w:t xml:space="preserve">чої дiяльностi пiдприємством у 2010 роцi,основною дiяльнiстю на даний час є здавання в оренду власного нерухомого майна.Завдяки укладеним договорам з орендаторами є можливiсть у повному обсязi розрахуватись по зарплатi з працiвниками та сплачувати податки </w:t>
            </w:r>
            <w:r>
              <w:rPr>
                <w:rFonts w:ascii="Times New Roman CYR" w:hAnsi="Times New Roman CYR" w:cs="Times New Roman CYR"/>
              </w:rPr>
              <w:t>до бюджету.</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Також директор особисто веде бухгалтерський облiк на пiдприємствi,розробляє фiнансовий план,розробляє та своєчасно подає до НКЦП та ФР рiчнi звiти дiяльностi акцiонерного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Приймає активну участь в засiданнях Наглядової ради</w:t>
            </w:r>
            <w:r>
              <w:rPr>
                <w:rFonts w:ascii="Times New Roman CYR" w:hAnsi="Times New Roman CYR" w:cs="Times New Roman CYR"/>
              </w:rPr>
              <w:t xml:space="preserve"> ,де висловлює  пропозицiї та напрямки в розвитку дiяльностi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заступника(ів) керівника, термін повноважень у звітному періоді</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Сфера відповідальності заступника керівника</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 та посада особи, яка виконувала обов'язки керівника у звітному періоді, період протягом якого особа здійснювала виконання обов'язків керівника</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Звіт виконавчого органу</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Склад виконавчого органу та штат.</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2025  роцi працював одноосiбнiй виконавчий орган -Директор.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Штатный склад - 2 особи-директор та корпоративний секретар ( за сумiсництвом)(з 01.05.25 р.)</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Операцiйна дiяльнiсть</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2025 роцi основний дохiд пiдприємство отримувало вiд здачи в оренду власного нерухомого майна.Кiлькiсть орендарiв складало 14 фiзичних та юридичних осiб.</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Чистий дохiд вiд оренди 1 097,0 тыс.грн ,без ПДВ.</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Затрати 1 108,0 тис.грн .(зарплата с </w:t>
      </w:r>
      <w:r>
        <w:rPr>
          <w:rFonts w:ascii="Times New Roman CYR" w:hAnsi="Times New Roman CYR" w:cs="Times New Roman CYR"/>
          <w:sz w:val="24"/>
          <w:szCs w:val="24"/>
        </w:rPr>
        <w:t xml:space="preserve">ЕСВ - 185,816 тис.грн.,електроенергiя -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549,681 тис.грн.,25 тис.грн -сумнiвний борг ТОВ "IНЖИНIРIНГ-М",iнши затрати - 372,503 тис.грн.( податок на нерухомiсть,єдиний податок,телефони,послуги банкiв та iн.)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Як пiдсумок -збиток 11,0 тис.грн.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4.Зарплата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Витрати  на оплату працi у 2024 роцi склали -  185,816 тис.грн.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5.</w:t>
      </w:r>
      <w:r>
        <w:rPr>
          <w:rFonts w:ascii="Times New Roman CYR" w:hAnsi="Times New Roman CYR" w:cs="Times New Roman CYR"/>
          <w:sz w:val="24"/>
          <w:szCs w:val="24"/>
        </w:rPr>
        <w:tab/>
        <w:t>Основнi засоби та нематерiальнi активи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У 2025 роцi вартiсть основних засобiв у порiвнянi з 2023 роком не змiнилась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Грошi та їх еквiвалент,власний  капiтал.</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Залишок грошей</w:t>
      </w:r>
      <w:r>
        <w:rPr>
          <w:rFonts w:ascii="Times New Roman CYR" w:hAnsi="Times New Roman CYR" w:cs="Times New Roman CYR"/>
          <w:sz w:val="24"/>
          <w:szCs w:val="24"/>
        </w:rPr>
        <w:t xml:space="preserve"> на кiнец року вiдповiдає касовiй книзi та банковським ввипискам та складає  6 996,66 грн. у банку.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Власний капiтал товариства станом на 31.12.2023 р. становить 1626,0 тис грн. i складається iз:</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статутного капiталу товариства, який станом н</w:t>
      </w:r>
      <w:r>
        <w:rPr>
          <w:rFonts w:ascii="Times New Roman CYR" w:hAnsi="Times New Roman CYR" w:cs="Times New Roman CYR"/>
          <w:sz w:val="24"/>
          <w:szCs w:val="24"/>
        </w:rPr>
        <w:t>а 31.12.2025 року складає 4 380 545 грн.. подiлений на 17 522 180  простих iменних акцiй i не змiнювався. Додаткового випуску акцiй не було. Обiг акцiй товариства не вiдбувався.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непокритого збитку в розмiрi 2 755,0 тис.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Власний капiтал товариства н</w:t>
      </w:r>
      <w:r>
        <w:rPr>
          <w:rFonts w:ascii="Times New Roman CYR" w:hAnsi="Times New Roman CYR" w:cs="Times New Roman CYR"/>
          <w:sz w:val="24"/>
          <w:szCs w:val="24"/>
        </w:rPr>
        <w:t>а кiнець року зменьшився на 11,0 тис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Поточнi зобов'язання:</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31.12.2054 р. розмiр поточних зобов'язань товариства в порiвняннi з даними на початок 2024 року зменьшився на 11,0 тис. грн. i складає 245,0 тис. грн., в т.ч.:</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поточнi зобов"</w:t>
      </w:r>
      <w:r>
        <w:rPr>
          <w:rFonts w:ascii="Times New Roman CYR" w:hAnsi="Times New Roman CYR" w:cs="Times New Roman CYR"/>
          <w:sz w:val="24"/>
          <w:szCs w:val="24"/>
        </w:rPr>
        <w:t>язання з бюджетом -16,0 тис.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iз страхування  - 0,0 тис.грн.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 оплати працi  - 0,0 тис.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iншi поточнi зобов"язання (безвiдсоткова фiнансова допомога)- 261,0 тис.грн.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7.Податки</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доходи фiз.осiб -27 540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податок на нерухомiсть - 147 774,48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ЕСВ ( пенсiйный фонд) - 32 816,24грн.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вiйськовий збiр -7 650 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єдиний податок  - 63 587,02,98грн.</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8.Що зроблено</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Положення про взаїмодiю з диспетчером РЕС.</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w:t>
      </w:r>
      <w:r>
        <w:rPr>
          <w:rFonts w:ascii="Times New Roman CYR" w:hAnsi="Times New Roman CYR" w:cs="Times New Roman CYR"/>
          <w:sz w:val="24"/>
          <w:szCs w:val="24"/>
        </w:rPr>
        <w:tab/>
        <w:t>Замiр контуру iзоляцiї.</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Поточнi питання акцiонерного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6. Інформація про корпоративного секретаря, а також звіт щодо результатів його діяльності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500"/>
        <w:gridCol w:w="6500"/>
      </w:tblGrid>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Ім'я</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Пiддубна Олександра Олександрiвна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РНОКПП</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УНЗР</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Документи, які регулюють діяльність корпоративного секретаря</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Закон України "Про акцiонернi товариства"</w:t>
            </w:r>
          </w:p>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НКЦП та ФР № 1089 вiд 232.09.2023 року "Про затвердження Вимог до корпоративного секретаря акцiонерного товариства"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Орган управління, який прийн</w:t>
            </w:r>
            <w:r>
              <w:rPr>
                <w:rFonts w:ascii="Times New Roman CYR" w:hAnsi="Times New Roman CYR" w:cs="Times New Roman CYR"/>
                <w:sz w:val="24"/>
                <w:szCs w:val="24"/>
              </w:rPr>
              <w:t xml:space="preserve">яв рішення про призначення корпоративного </w:t>
            </w:r>
            <w:r>
              <w:rPr>
                <w:rFonts w:ascii="Times New Roman CYR" w:hAnsi="Times New Roman CYR" w:cs="Times New Roman CYR"/>
                <w:sz w:val="24"/>
                <w:szCs w:val="24"/>
              </w:rPr>
              <w:lastRenderedPageBreak/>
              <w:t>секретаря</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Наглядова рада ПрАТ "Березаньпродтовари"Наказ Директора товариства.</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Дата та номер рішення про призначення корпоративного секретаря</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29.04.2025 1-К</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Дата та номер рішення про затвердження звіту корпоративного секретаря за завітний період</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Д/н</w:t>
            </w:r>
          </w:p>
        </w:tc>
      </w:tr>
      <w:tr w:rsidR="00000000">
        <w:tblPrEx>
          <w:tblCellMar>
            <w:top w:w="0" w:type="dxa"/>
            <w:bottom w:w="0" w:type="dxa"/>
          </w:tblCellMar>
        </w:tblPrEx>
        <w:trPr>
          <w:trHeight w:val="200"/>
        </w:trPr>
        <w:tc>
          <w:tcPr>
            <w:tcW w:w="35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положення звіту щодо результатів діяльності корпоративного секретаря за завітний період</w:t>
            </w:r>
          </w:p>
        </w:tc>
        <w:tc>
          <w:tcPr>
            <w:tcW w:w="6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Звiт по результатам двяльностi корпоративного секретаря не подаєт</w:t>
            </w:r>
            <w:r>
              <w:rPr>
                <w:rFonts w:ascii="Times New Roman CYR" w:hAnsi="Times New Roman CYR" w:cs="Times New Roman CYR"/>
              </w:rPr>
              <w:t>ься у зв'язку з коротким термiном перебування на посадi.</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8. Інформація щодо осіб, які прямо або опосередковано є власниками значного пакета акцій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1750"/>
        <w:gridCol w:w="175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значного пакета акцій</w:t>
            </w:r>
          </w:p>
        </w:tc>
        <w:tc>
          <w:tcPr>
            <w:tcW w:w="175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Розмір пакета акцій, що знаходиться в прямому та (опосередкованому) володінні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Марiя Юрiївна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c>
          <w:tcPr>
            <w:tcW w:w="175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60,928</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c>
          <w:tcPr>
            <w:tcW w:w="175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27,697</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Частина 9. Інформація щодо будь-яких обмежень прав участі та голосування акціонерів (учасників) на загальних зборах особи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1750"/>
        <w:gridCol w:w="1750"/>
        <w:gridCol w:w="35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Ім'я або повне найменування акціонера (учасника) права участі та/або голосування якого обмежено</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РНОКПП</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УНЗР</w:t>
            </w:r>
          </w:p>
        </w:tc>
        <w:tc>
          <w:tcPr>
            <w:tcW w:w="35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Опис наявного обмеження</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1 048 666 акцiй (1 034 акціонера)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35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16 473 514 штук, що становить 94,015208 % вiд загаль</w:t>
            </w:r>
            <w:r>
              <w:rPr>
                <w:rFonts w:ascii="Times New Roman CYR" w:hAnsi="Times New Roman CYR" w:cs="Times New Roman CYR"/>
              </w:rPr>
              <w:t xml:space="preserve">ної кiлькостi акцiй Товариства, i якi належать7(сiмом)особам.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Iншi власники,1 034 акціонера (власники 1 048 666 акцiй) не уклали з обраною емiтентом депозитарною установою договору про обслуговування рахунка в цiнних паперах вiд власного iменi та не </w:t>
            </w:r>
            <w:r>
              <w:rPr>
                <w:rFonts w:ascii="Times New Roman CYR" w:hAnsi="Times New Roman CYR" w:cs="Times New Roman CYR"/>
              </w:rPr>
              <w:t xml:space="preserve">здiйснили переказ належних їм прав на цiннi папери на свiй рахунок у цiнних паперах, вiдкритий в iншiй депозитарнiй установi.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 xml:space="preserve">Iнших обмежень прав участi та голосування акцiонерiв на загальних зборах емiтентiв немає.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i/>
          <w:iCs/>
          <w:sz w:val="24"/>
          <w:szCs w:val="24"/>
        </w:rPr>
        <w:t>4. Дивіденди</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3000"/>
        <w:gridCol w:w="2500"/>
        <w:gridCol w:w="2500"/>
      </w:tblGrid>
      <w:tr w:rsidR="00000000">
        <w:tblPrEx>
          <w:tblCellMar>
            <w:top w:w="0" w:type="dxa"/>
            <w:bottom w:w="0" w:type="dxa"/>
          </w:tblCellMar>
        </w:tblPrEx>
        <w:trPr>
          <w:trHeight w:val="200"/>
        </w:trPr>
        <w:tc>
          <w:tcPr>
            <w:tcW w:w="5000" w:type="dxa"/>
            <w:gridSpan w:val="2"/>
            <w:vMerge w:val="restart"/>
            <w:tcBorders>
              <w:top w:val="single" w:sz="6" w:space="0" w:color="auto"/>
              <w:bottom w:val="nil"/>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Інформація про виплату дивідендів</w:t>
            </w:r>
          </w:p>
        </w:tc>
        <w:tc>
          <w:tcPr>
            <w:tcW w:w="5000"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 звітному періоді</w:t>
            </w:r>
          </w:p>
        </w:tc>
      </w:tr>
      <w:tr w:rsidR="00000000">
        <w:tblPrEx>
          <w:tblCellMar>
            <w:top w:w="0" w:type="dxa"/>
            <w:bottom w:w="0" w:type="dxa"/>
          </w:tblCellMar>
        </w:tblPrEx>
        <w:trPr>
          <w:trHeight w:val="200"/>
        </w:trPr>
        <w:tc>
          <w:tcPr>
            <w:tcW w:w="5000" w:type="dxa"/>
            <w:gridSpan w:val="2"/>
            <w:vMerge/>
            <w:tcBorders>
              <w:top w:val="nil"/>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простими акціями</w:t>
            </w:r>
          </w:p>
        </w:tc>
        <w:tc>
          <w:tcPr>
            <w:tcW w:w="25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привілейованими акціями</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нарахованих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Нараховані дивіденди на одну акцію, грн.</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Сума виплачених/перерахованих дивідендів, грн.</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складення переліку осіб, які мають право на отримання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Спосіб виплати дивідендів</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(дати) перерахування дивідендів через депозитарну систему із зазначенням сум (грн) перерахованих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5000" w:type="dxa"/>
            <w:gridSpan w:val="2"/>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Дата (дати) перерахування/ відправлення дивідендів безпосередньо акці</w:t>
            </w:r>
            <w:r>
              <w:rPr>
                <w:rFonts w:ascii="Times New Roman CYR" w:hAnsi="Times New Roman CYR" w:cs="Times New Roman CYR"/>
              </w:rPr>
              <w:t>онерам із зазначенням сум (грн) перерахованих/відправлених дивідендів на відповідну дату</w:t>
            </w:r>
          </w:p>
        </w:tc>
        <w:tc>
          <w:tcPr>
            <w:tcW w:w="2500" w:type="dxa"/>
            <w:tcBorders>
              <w:top w:val="single" w:sz="6" w:space="0" w:color="auto"/>
              <w:left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c>
          <w:tcPr>
            <w:tcW w:w="2500" w:type="dxa"/>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звітного періоду: </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За результатами попереднього періоду: </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Додаткова інформац</w:t>
            </w:r>
            <w:r>
              <w:rPr>
                <w:rFonts w:ascii="Times New Roman CYR" w:hAnsi="Times New Roman CYR" w:cs="Times New Roman CYR"/>
              </w:rPr>
              <w:t>ія</w:t>
            </w:r>
          </w:p>
        </w:tc>
        <w:tc>
          <w:tcPr>
            <w:tcW w:w="8000" w:type="dxa"/>
            <w:gridSpan w:val="3"/>
            <w:tcBorders>
              <w:top w:val="single" w:sz="6" w:space="0" w:color="auto"/>
              <w:left w:val="single" w:sz="6" w:space="0" w:color="auto"/>
              <w:bottom w:val="single" w:sz="6" w:space="0" w:color="auto"/>
            </w:tcBorders>
          </w:tcPr>
          <w:p w:rsidR="00000000" w:rsidRDefault="0001004A">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В звiтному перiодi дивiденти не нараховувались та не виплачувались.</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2026.01.01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w:t>
            </w:r>
          </w:p>
        </w:tc>
        <w:tc>
          <w:tcPr>
            <w:tcW w:w="1990" w:type="dxa"/>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UA32060030010087257</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0</w:t>
      </w:r>
    </w:p>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Броварський р-н р-н, м.Березань, вул.Шевченкiв шлях ,буд.157, (04576)6-27-69</w:t>
      </w:r>
    </w:p>
    <w:p w:rsidR="00000000" w:rsidRDefault="0001004A">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1. Баланс</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31.12.2025 p.</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192</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225</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1887</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-2744</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-2755</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1637</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245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263</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261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645"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1887</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2025 рік</w:t>
      </w:r>
    </w:p>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01004A">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1097</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1245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1097</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1245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(1083)</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(1108)</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w:t>
            </w:r>
          </w:p>
        </w:tc>
        <w:tc>
          <w:tcPr>
            <w:tcW w:w="1645" w:type="dxa"/>
            <w:gridSpan w:val="2"/>
            <w:tcBorders>
              <w:top w:val="single" w:sz="6" w:space="0" w:color="auto"/>
              <w:left w:val="single" w:sz="6" w:space="0" w:color="auto"/>
              <w:bottom w:val="single" w:sz="6" w:space="0" w:color="auto"/>
            </w:tcBorders>
            <w:vAlign w:val="center"/>
          </w:tcPr>
          <w:p w:rsidR="00000000" w:rsidRDefault="0001004A">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150</w:t>
            </w:r>
          </w:p>
        </w:tc>
      </w:tr>
    </w:tbl>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01004A">
      <w:pPr>
        <w:widowControl w:val="0"/>
        <w:autoSpaceDE w:val="0"/>
        <w:autoSpaceDN w:val="0"/>
        <w:adjustRightInd w:val="0"/>
        <w:spacing w:after="0" w:line="240" w:lineRule="auto"/>
        <w:rPr>
          <w:rFonts w:ascii="Times New Roman CYR" w:hAnsi="Times New Roman CYR" w:cs="Times New Roman CYR"/>
        </w:rPr>
        <w:sectPr w:rsidR="00000000">
          <w:pgSz w:w="12240" w:h="15840"/>
          <w:pgMar w:top="570" w:right="720" w:bottom="570" w:left="720" w:header="708" w:footer="708" w:gutter="0"/>
          <w:cols w:space="720"/>
          <w:noEndnote/>
        </w:sectPr>
      </w:pPr>
    </w:p>
    <w:p w:rsidR="00000000" w:rsidRDefault="0001004A">
      <w:pPr>
        <w:widowControl w:val="0"/>
        <w:autoSpaceDE w:val="0"/>
        <w:autoSpaceDN w:val="0"/>
        <w:adjustRightInd w:val="0"/>
        <w:spacing w:after="0" w:line="240" w:lineRule="auto"/>
        <w:rPr>
          <w:rFonts w:ascii="Times New Roman CYR" w:hAnsi="Times New Roman CYR" w:cs="Times New Roman CYR"/>
        </w:rPr>
      </w:pPr>
    </w:p>
    <w:p w:rsidR="00000000" w:rsidRDefault="0001004A">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570" w:right="720" w:bottom="570" w:left="720" w:header="708" w:footer="708"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004A"/>
    <w:rsid w:val="0001004A"/>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44</Pages>
  <Words>10281</Words>
  <Characters>70115</Characters>
  <Application>Microsoft Office Word</Application>
  <DocSecurity>0</DocSecurity>
  <Lines>584</Lines>
  <Paragraphs>160</Paragraphs>
  <ScaleCrop>false</ScaleCrop>
  <Company/>
  <LinksUpToDate>false</LinksUpToDate>
  <CharactersWithSpaces>80236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2</cp:revision>
  <dcterms:created xsi:type="dcterms:W3CDTF">2026-04-11T14:13:00Z</dcterms:created>
  <dcterms:modified xsi:type="dcterms:W3CDTF">2026-04-11T14:13:00Z</dcterms:modified>
</cp:coreProperties>
</file>