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EE" w:rsidRPr="009D29D1" w:rsidRDefault="00BD40EE" w:rsidP="00BD40EE">
      <w:pPr>
        <w:widowControl/>
        <w:autoSpaceDE/>
        <w:autoSpaceDN/>
        <w:jc w:val="center"/>
        <w:rPr>
          <w:b/>
          <w:sz w:val="24"/>
          <w:szCs w:val="24"/>
          <w:lang w:eastAsia="ru-RU"/>
        </w:rPr>
      </w:pPr>
      <w:r w:rsidRPr="009D29D1">
        <w:rPr>
          <w:sz w:val="28"/>
          <w:szCs w:val="28"/>
          <w:lang w:eastAsia="ru-RU"/>
        </w:rPr>
        <w:br w:type="textWrapping" w:clear="all"/>
      </w:r>
      <w:r w:rsidRPr="009D29D1">
        <w:rPr>
          <w:b/>
          <w:sz w:val="24"/>
          <w:szCs w:val="24"/>
          <w:lang w:eastAsia="ru-RU"/>
        </w:rPr>
        <w:t xml:space="preserve">     УКРАЇНА</w:t>
      </w:r>
    </w:p>
    <w:p w:rsidR="00BD40EE" w:rsidRPr="009D29D1" w:rsidRDefault="00BD40EE" w:rsidP="00BD40EE">
      <w:pPr>
        <w:widowControl/>
        <w:autoSpaceDE/>
        <w:autoSpaceDN/>
        <w:ind w:left="-709"/>
        <w:jc w:val="center"/>
        <w:rPr>
          <w:b/>
          <w:sz w:val="20"/>
          <w:szCs w:val="20"/>
          <w:lang w:eastAsia="ru-RU"/>
        </w:rPr>
      </w:pPr>
      <w:r w:rsidRPr="009D29D1">
        <w:rPr>
          <w:noProof/>
          <w:sz w:val="20"/>
          <w:szCs w:val="20"/>
          <w:lang w:val="ru-RU" w:eastAsia="ru-RU"/>
        </w:rPr>
        <w:drawing>
          <wp:anchor distT="0" distB="0" distL="114300" distR="114300" simplePos="0" relativeHeight="487561728" behindDoc="1" locked="0" layoutInCell="1" allowOverlap="1">
            <wp:simplePos x="0" y="0"/>
            <wp:positionH relativeFrom="column">
              <wp:posOffset>160020</wp:posOffset>
            </wp:positionH>
            <wp:positionV relativeFrom="paragraph">
              <wp:posOffset>20320</wp:posOffset>
            </wp:positionV>
            <wp:extent cx="902335" cy="1318260"/>
            <wp:effectExtent l="0" t="0" r="0" b="0"/>
            <wp:wrapTight wrapText="bothSides">
              <wp:wrapPolygon edited="0">
                <wp:start x="0" y="0"/>
                <wp:lineTo x="0" y="21225"/>
                <wp:lineTo x="20977" y="21225"/>
                <wp:lineTo x="20977" y="0"/>
                <wp:lineTo x="0" y="0"/>
              </wp:wrapPolygon>
            </wp:wrapTight>
            <wp:docPr id="5" name="Рисунок 3" descr="C:\Users\Admin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40000" contrast="8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40EE" w:rsidRPr="009D29D1" w:rsidRDefault="00BD40EE" w:rsidP="00BD40EE">
      <w:pPr>
        <w:widowControl/>
        <w:autoSpaceDE/>
        <w:autoSpaceDN/>
        <w:ind w:left="-567"/>
        <w:jc w:val="center"/>
        <w:rPr>
          <w:rFonts w:ascii="Palatino Linotype" w:hAnsi="Palatino Linotype"/>
          <w:b/>
          <w:sz w:val="28"/>
          <w:szCs w:val="28"/>
          <w:lang w:eastAsia="ru-RU"/>
        </w:rPr>
      </w:pPr>
      <w:r w:rsidRPr="009D29D1">
        <w:rPr>
          <w:rFonts w:ascii="Palatino Linotype" w:hAnsi="Palatino Linotype"/>
          <w:b/>
          <w:sz w:val="28"/>
          <w:szCs w:val="28"/>
          <w:lang w:eastAsia="ru-RU"/>
        </w:rPr>
        <w:t>КОВЕЛЬСЬКЕ СПЕЦІАЛІЗОВАНЕ ЛІСОГОСПОДАРСЬКЕ АКЦІОНЕРНЕ ТОВАРИСТВО "ТУР"</w:t>
      </w:r>
    </w:p>
    <w:p w:rsidR="00BD40EE" w:rsidRPr="009D29D1" w:rsidRDefault="00BD40EE" w:rsidP="00BD40EE">
      <w:pPr>
        <w:widowControl/>
        <w:pBdr>
          <w:bottom w:val="thinThickMediumGap" w:sz="18" w:space="0" w:color="auto"/>
        </w:pBdr>
        <w:tabs>
          <w:tab w:val="left" w:pos="6804"/>
        </w:tabs>
        <w:autoSpaceDE/>
        <w:autoSpaceDN/>
        <w:jc w:val="center"/>
        <w:rPr>
          <w:b/>
          <w:sz w:val="4"/>
          <w:szCs w:val="4"/>
          <w:lang w:eastAsia="ru-RU"/>
        </w:rPr>
      </w:pPr>
    </w:p>
    <w:p w:rsidR="00BD40EE" w:rsidRPr="009D29D1" w:rsidRDefault="00BD40EE" w:rsidP="00BD40EE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 xml:space="preserve">45000, Волинська обл., </w:t>
      </w:r>
      <w:proofErr w:type="spellStart"/>
      <w:r w:rsidRPr="009D29D1">
        <w:rPr>
          <w:sz w:val="16"/>
          <w:szCs w:val="16"/>
          <w:lang w:eastAsia="ru-RU"/>
        </w:rPr>
        <w:t>м.Ковель</w:t>
      </w:r>
      <w:proofErr w:type="spellEnd"/>
      <w:r w:rsidRPr="009D29D1">
        <w:rPr>
          <w:sz w:val="16"/>
          <w:szCs w:val="16"/>
          <w:lang w:eastAsia="ru-RU"/>
        </w:rPr>
        <w:t xml:space="preserve">, </w:t>
      </w:r>
      <w:proofErr w:type="spellStart"/>
      <w:r w:rsidRPr="009D29D1">
        <w:rPr>
          <w:sz w:val="16"/>
          <w:szCs w:val="16"/>
          <w:lang w:eastAsia="ru-RU"/>
        </w:rPr>
        <w:t>вул.Грушевського</w:t>
      </w:r>
      <w:proofErr w:type="spellEnd"/>
      <w:r w:rsidRPr="009D29D1">
        <w:rPr>
          <w:sz w:val="16"/>
          <w:szCs w:val="16"/>
          <w:lang w:eastAsia="ru-RU"/>
        </w:rPr>
        <w:t>, 112, тел.5-90-79, 5-94-87, факс 3-26-44</w:t>
      </w:r>
    </w:p>
    <w:p w:rsidR="00BD40EE" w:rsidRPr="009D29D1" w:rsidRDefault="00BD40EE" w:rsidP="00BD40EE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 xml:space="preserve">р/р 26006236170003 в Ковельській філії Волинського ГРУ </w:t>
      </w:r>
      <w:proofErr w:type="spellStart"/>
      <w:r w:rsidRPr="009D29D1">
        <w:rPr>
          <w:sz w:val="16"/>
          <w:szCs w:val="16"/>
          <w:lang w:eastAsia="ru-RU"/>
        </w:rPr>
        <w:t>ПриватБанк</w:t>
      </w:r>
      <w:proofErr w:type="spellEnd"/>
      <w:r w:rsidRPr="009D29D1">
        <w:rPr>
          <w:sz w:val="16"/>
          <w:szCs w:val="16"/>
          <w:lang w:eastAsia="ru-RU"/>
        </w:rPr>
        <w:t>, МФО 303440</w:t>
      </w:r>
    </w:p>
    <w:p w:rsidR="00BD40EE" w:rsidRPr="009D29D1" w:rsidRDefault="00BD40EE" w:rsidP="00BD40EE">
      <w:pPr>
        <w:widowControl/>
        <w:autoSpaceDE/>
        <w:autoSpaceDN/>
        <w:jc w:val="center"/>
        <w:rPr>
          <w:sz w:val="16"/>
          <w:szCs w:val="16"/>
          <w:lang w:eastAsia="ru-RU"/>
        </w:rPr>
      </w:pPr>
      <w:r w:rsidRPr="009D29D1">
        <w:rPr>
          <w:sz w:val="16"/>
          <w:szCs w:val="16"/>
          <w:lang w:eastAsia="ru-RU"/>
        </w:rPr>
        <w:t>код ЗКПО 05441542, код банку 20120634</w:t>
      </w:r>
    </w:p>
    <w:p w:rsidR="00BD40EE" w:rsidRPr="00374138" w:rsidRDefault="00BD40EE" w:rsidP="00BD40EE">
      <w:pPr>
        <w:pStyle w:val="a3"/>
        <w:jc w:val="center"/>
        <w:rPr>
          <w:rFonts w:asciiTheme="majorHAnsi" w:hAnsiTheme="majorHAnsi"/>
          <w:sz w:val="18"/>
          <w:szCs w:val="18"/>
        </w:rPr>
      </w:pPr>
    </w:p>
    <w:p w:rsidR="00BD40EE" w:rsidRDefault="00BD40EE" w:rsidP="00BD40EE">
      <w:pPr>
        <w:pStyle w:val="a3"/>
        <w:jc w:val="center"/>
        <w:rPr>
          <w:sz w:val="16"/>
        </w:rPr>
      </w:pPr>
    </w:p>
    <w:p w:rsidR="00BD40EE" w:rsidRDefault="00BD40EE" w:rsidP="00BD40EE">
      <w:pPr>
        <w:pStyle w:val="11"/>
        <w:spacing w:line="232" w:lineRule="auto"/>
        <w:ind w:left="892" w:right="899"/>
        <w:rPr>
          <w:spacing w:val="-2"/>
          <w:w w:val="95"/>
        </w:rPr>
      </w:pPr>
    </w:p>
    <w:p w:rsidR="00E1154A" w:rsidRDefault="006932FC" w:rsidP="00BD40EE">
      <w:pPr>
        <w:pStyle w:val="a3"/>
        <w:ind w:left="0"/>
        <w:jc w:val="left"/>
        <w:rPr>
          <w:sz w:val="20"/>
        </w:rPr>
      </w:pPr>
      <w:r>
        <w:rPr>
          <w:noProof/>
          <w:lang w:val="ru-RU" w:eastAsia="ru-RU"/>
        </w:rPr>
        <w:drawing>
          <wp:anchor distT="0" distB="0" distL="0" distR="0" simplePos="0" relativeHeight="487559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40EE">
        <w:rPr>
          <w:sz w:val="20"/>
        </w:rPr>
        <w:t xml:space="preserve">             </w:t>
      </w:r>
    </w:p>
    <w:p w:rsidR="00E1154A" w:rsidRDefault="00BD40EE" w:rsidP="00BD40EE">
      <w:pPr>
        <w:ind w:right="899"/>
        <w:rPr>
          <w:rFonts w:ascii="Georgia" w:hAnsi="Georgia"/>
          <w:b/>
          <w:sz w:val="32"/>
        </w:rPr>
      </w:pPr>
      <w:r>
        <w:rPr>
          <w:sz w:val="36"/>
        </w:rPr>
        <w:t xml:space="preserve">                           </w:t>
      </w:r>
      <w:r w:rsidR="006932FC">
        <w:rPr>
          <w:rFonts w:ascii="Georgia" w:hAnsi="Georgia"/>
          <w:b/>
          <w:color w:val="134D9B"/>
          <w:w w:val="90"/>
          <w:sz w:val="32"/>
        </w:rPr>
        <w:t>ПЕРЕЛІК</w:t>
      </w:r>
      <w:r w:rsidR="006932FC">
        <w:rPr>
          <w:rFonts w:ascii="Georgia" w:hAnsi="Georgia"/>
          <w:b/>
          <w:color w:val="134D9B"/>
          <w:spacing w:val="-1"/>
          <w:sz w:val="32"/>
        </w:rPr>
        <w:t xml:space="preserve"> </w:t>
      </w:r>
      <w:r w:rsidR="006932FC">
        <w:rPr>
          <w:rFonts w:ascii="Georgia" w:hAnsi="Georgia"/>
          <w:b/>
          <w:color w:val="134D9B"/>
          <w:spacing w:val="-2"/>
          <w:w w:val="95"/>
          <w:sz w:val="32"/>
        </w:rPr>
        <w:t>ДОКУМЕНТІВ,</w:t>
      </w:r>
    </w:p>
    <w:p w:rsidR="00E1154A" w:rsidRDefault="006932FC">
      <w:pPr>
        <w:spacing w:before="30"/>
        <w:ind w:left="2"/>
        <w:jc w:val="center"/>
        <w:rPr>
          <w:rFonts w:ascii="Georgia" w:hAnsi="Georgia"/>
          <w:b/>
        </w:rPr>
      </w:pPr>
      <w:r>
        <w:rPr>
          <w:rFonts w:ascii="Georgia" w:hAnsi="Georgia"/>
          <w:b/>
          <w:color w:val="134D9B"/>
          <w:w w:val="80"/>
        </w:rPr>
        <w:t>що</w:t>
      </w:r>
      <w:r>
        <w:rPr>
          <w:rFonts w:ascii="Georgia" w:hAnsi="Georgia"/>
          <w:b/>
          <w:color w:val="134D9B"/>
          <w:spacing w:val="5"/>
        </w:rPr>
        <w:t xml:space="preserve"> </w:t>
      </w:r>
      <w:r>
        <w:rPr>
          <w:rFonts w:ascii="Georgia" w:hAnsi="Georgia"/>
          <w:b/>
          <w:color w:val="134D9B"/>
          <w:w w:val="80"/>
        </w:rPr>
        <w:t>має</w:t>
      </w:r>
      <w:r>
        <w:rPr>
          <w:rFonts w:ascii="Georgia" w:hAnsi="Georgia"/>
          <w:b/>
          <w:color w:val="134D9B"/>
          <w:spacing w:val="3"/>
        </w:rPr>
        <w:t xml:space="preserve"> </w:t>
      </w:r>
      <w:r>
        <w:rPr>
          <w:rFonts w:ascii="Georgia" w:hAnsi="Georgia"/>
          <w:b/>
          <w:color w:val="134D9B"/>
          <w:w w:val="80"/>
        </w:rPr>
        <w:t>надати</w:t>
      </w:r>
      <w:r>
        <w:rPr>
          <w:rFonts w:ascii="Georgia" w:hAnsi="Georgia"/>
          <w:b/>
          <w:color w:val="134D9B"/>
          <w:spacing w:val="8"/>
        </w:rPr>
        <w:t xml:space="preserve"> </w:t>
      </w:r>
      <w:r>
        <w:rPr>
          <w:rFonts w:ascii="Georgia" w:hAnsi="Georgia"/>
          <w:b/>
          <w:color w:val="134D9B"/>
          <w:w w:val="80"/>
        </w:rPr>
        <w:t>акціонер</w:t>
      </w:r>
      <w:r>
        <w:rPr>
          <w:rFonts w:ascii="Georgia" w:hAnsi="Georgia"/>
          <w:b/>
          <w:color w:val="134D9B"/>
          <w:spacing w:val="4"/>
        </w:rPr>
        <w:t xml:space="preserve"> </w:t>
      </w:r>
      <w:r>
        <w:rPr>
          <w:rFonts w:ascii="Georgia" w:hAnsi="Georgia"/>
          <w:b/>
          <w:color w:val="134D9B"/>
          <w:w w:val="80"/>
        </w:rPr>
        <w:t>(представник</w:t>
      </w:r>
      <w:r>
        <w:rPr>
          <w:rFonts w:ascii="Georgia" w:hAnsi="Georgia"/>
          <w:b/>
          <w:color w:val="134D9B"/>
          <w:spacing w:val="3"/>
        </w:rPr>
        <w:t xml:space="preserve"> </w:t>
      </w:r>
      <w:r>
        <w:rPr>
          <w:rFonts w:ascii="Georgia" w:hAnsi="Georgia"/>
          <w:b/>
          <w:color w:val="134D9B"/>
          <w:w w:val="80"/>
        </w:rPr>
        <w:t>акціонера)</w:t>
      </w:r>
      <w:r>
        <w:rPr>
          <w:rFonts w:ascii="Georgia" w:hAnsi="Georgia"/>
          <w:b/>
          <w:color w:val="134D9B"/>
        </w:rPr>
        <w:t xml:space="preserve"> </w:t>
      </w:r>
      <w:r>
        <w:rPr>
          <w:rFonts w:ascii="Georgia" w:hAnsi="Georgia"/>
          <w:b/>
          <w:color w:val="134D9B"/>
          <w:w w:val="80"/>
        </w:rPr>
        <w:t>для</w:t>
      </w:r>
      <w:r>
        <w:rPr>
          <w:rFonts w:ascii="Georgia" w:hAnsi="Georgia"/>
          <w:b/>
          <w:color w:val="134D9B"/>
          <w:spacing w:val="7"/>
        </w:rPr>
        <w:t xml:space="preserve"> </w:t>
      </w:r>
      <w:r>
        <w:rPr>
          <w:rFonts w:ascii="Georgia" w:hAnsi="Georgia"/>
          <w:b/>
          <w:color w:val="134D9B"/>
          <w:w w:val="80"/>
        </w:rPr>
        <w:t>його</w:t>
      </w:r>
      <w:r>
        <w:rPr>
          <w:rFonts w:ascii="Georgia" w:hAnsi="Georgia"/>
          <w:b/>
          <w:color w:val="134D9B"/>
        </w:rPr>
        <w:t xml:space="preserve"> </w:t>
      </w:r>
      <w:r>
        <w:rPr>
          <w:rFonts w:ascii="Georgia" w:hAnsi="Georgia"/>
          <w:b/>
          <w:color w:val="134D9B"/>
          <w:w w:val="80"/>
        </w:rPr>
        <w:t>участі</w:t>
      </w:r>
      <w:r>
        <w:rPr>
          <w:rFonts w:ascii="Georgia" w:hAnsi="Georgia"/>
          <w:b/>
          <w:color w:val="134D9B"/>
          <w:spacing w:val="2"/>
        </w:rPr>
        <w:t xml:space="preserve"> </w:t>
      </w:r>
      <w:r>
        <w:rPr>
          <w:rFonts w:ascii="Georgia" w:hAnsi="Georgia"/>
          <w:b/>
          <w:color w:val="134D9B"/>
          <w:w w:val="80"/>
        </w:rPr>
        <w:t>у</w:t>
      </w:r>
      <w:r>
        <w:rPr>
          <w:rFonts w:ascii="Georgia" w:hAnsi="Georgia"/>
          <w:b/>
          <w:color w:val="134D9B"/>
          <w:spacing w:val="2"/>
        </w:rPr>
        <w:t xml:space="preserve"> </w:t>
      </w:r>
      <w:r>
        <w:rPr>
          <w:rFonts w:ascii="Georgia" w:hAnsi="Georgia"/>
          <w:b/>
          <w:color w:val="134D9B"/>
          <w:w w:val="80"/>
        </w:rPr>
        <w:t>загальних</w:t>
      </w:r>
      <w:r>
        <w:rPr>
          <w:rFonts w:ascii="Georgia" w:hAnsi="Georgia"/>
          <w:b/>
          <w:color w:val="134D9B"/>
          <w:spacing w:val="1"/>
        </w:rPr>
        <w:t xml:space="preserve"> </w:t>
      </w:r>
      <w:r>
        <w:rPr>
          <w:rFonts w:ascii="Georgia" w:hAnsi="Georgia"/>
          <w:b/>
          <w:color w:val="134D9B"/>
          <w:spacing w:val="-2"/>
          <w:w w:val="80"/>
        </w:rPr>
        <w:t>зборах</w:t>
      </w:r>
    </w:p>
    <w:p w:rsidR="00E1154A" w:rsidRDefault="00E1154A">
      <w:pPr>
        <w:pStyle w:val="a3"/>
        <w:spacing w:before="195"/>
        <w:ind w:left="0"/>
        <w:jc w:val="left"/>
        <w:rPr>
          <w:rFonts w:ascii="Georgia"/>
          <w:b/>
        </w:rPr>
      </w:pPr>
    </w:p>
    <w:p w:rsidR="00E1154A" w:rsidRDefault="00280B47">
      <w:pPr>
        <w:pStyle w:val="a3"/>
        <w:spacing w:line="237" w:lineRule="auto"/>
        <w:ind w:right="99"/>
      </w:pPr>
      <w:r>
        <w:rPr>
          <w:color w:val="134D9B"/>
        </w:rPr>
        <w:t>14квітня 2026</w:t>
      </w:r>
      <w:r w:rsidR="00BD40EE">
        <w:rPr>
          <w:color w:val="134D9B"/>
        </w:rPr>
        <w:t>року</w:t>
      </w:r>
      <w:r w:rsidR="006932FC">
        <w:rPr>
          <w:color w:val="134D9B"/>
        </w:rPr>
        <w:t>–</w:t>
      </w:r>
      <w:r w:rsidR="006932FC">
        <w:rPr>
          <w:color w:val="134D9B"/>
          <w:spacing w:val="-10"/>
        </w:rPr>
        <w:t xml:space="preserve"> </w:t>
      </w:r>
      <w:r w:rsidR="006932FC">
        <w:rPr>
          <w:color w:val="134D9B"/>
        </w:rPr>
        <w:t>дата</w:t>
      </w:r>
      <w:r w:rsidR="006932FC">
        <w:rPr>
          <w:color w:val="134D9B"/>
          <w:spacing w:val="-9"/>
        </w:rPr>
        <w:t xml:space="preserve"> </w:t>
      </w:r>
      <w:r w:rsidR="006932FC">
        <w:rPr>
          <w:color w:val="134D9B"/>
        </w:rPr>
        <w:t>проведення</w:t>
      </w:r>
      <w:r w:rsidR="006932FC">
        <w:rPr>
          <w:color w:val="134D9B"/>
          <w:spacing w:val="-10"/>
        </w:rPr>
        <w:t xml:space="preserve"> </w:t>
      </w:r>
      <w:r w:rsidR="006932FC">
        <w:rPr>
          <w:color w:val="134D9B"/>
        </w:rPr>
        <w:t>дистанційних</w:t>
      </w:r>
      <w:r w:rsidR="006932FC">
        <w:rPr>
          <w:color w:val="134D9B"/>
          <w:spacing w:val="-8"/>
        </w:rPr>
        <w:t xml:space="preserve"> </w:t>
      </w:r>
      <w:r w:rsidR="006932FC">
        <w:rPr>
          <w:color w:val="134D9B"/>
        </w:rPr>
        <w:t>загальних</w:t>
      </w:r>
      <w:r w:rsidR="006932FC">
        <w:rPr>
          <w:color w:val="134D9B"/>
          <w:spacing w:val="-11"/>
        </w:rPr>
        <w:t xml:space="preserve"> </w:t>
      </w:r>
      <w:r w:rsidR="006932FC">
        <w:rPr>
          <w:color w:val="134D9B"/>
        </w:rPr>
        <w:t>зборів</w:t>
      </w:r>
      <w:r w:rsidR="00BD40EE">
        <w:rPr>
          <w:color w:val="134D9B"/>
        </w:rPr>
        <w:t xml:space="preserve"> «СЛАТ «Тур</w:t>
      </w:r>
      <w:r w:rsidR="006932FC">
        <w:rPr>
          <w:rFonts w:ascii="Microsoft Sans Serif" w:hAnsi="Microsoft Sans Serif"/>
          <w:color w:val="134D9B"/>
        </w:rPr>
        <w:t xml:space="preserve">» </w:t>
      </w:r>
      <w:r w:rsidR="006932FC">
        <w:rPr>
          <w:color w:val="134D9B"/>
        </w:rPr>
        <w:t>(дата завершення голосування).</w:t>
      </w:r>
    </w:p>
    <w:p w:rsidR="00E1154A" w:rsidRDefault="006932FC">
      <w:pPr>
        <w:pStyle w:val="a3"/>
        <w:spacing w:before="116" w:line="235" w:lineRule="auto"/>
        <w:ind w:right="111"/>
      </w:pPr>
      <w:r>
        <w:rPr>
          <w:color w:val="134D9B"/>
          <w:spacing w:val="-2"/>
        </w:rPr>
        <w:t>Дистанційні</w:t>
      </w:r>
      <w:r>
        <w:rPr>
          <w:color w:val="134D9B"/>
          <w:spacing w:val="-14"/>
        </w:rPr>
        <w:t xml:space="preserve"> </w:t>
      </w:r>
      <w:r>
        <w:rPr>
          <w:color w:val="134D9B"/>
          <w:spacing w:val="-2"/>
        </w:rPr>
        <w:t>загальні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збори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не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передбачають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спільної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присутності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на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них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акціонерів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(їх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представників)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 xml:space="preserve">та </w:t>
      </w:r>
      <w:r>
        <w:rPr>
          <w:color w:val="134D9B"/>
          <w:spacing w:val="-4"/>
        </w:rPr>
        <w:t xml:space="preserve">проводяться шляхом дистанційного заповнення бюлетенів акціонерами (їх представниками) і надсилання їх до Товариства через депозитарну систему України у порядку, встановленому Національною комісією з </w:t>
      </w:r>
      <w:r>
        <w:rPr>
          <w:color w:val="134D9B"/>
        </w:rPr>
        <w:t>цінних паперів та фондового ринку.</w:t>
      </w:r>
    </w:p>
    <w:p w:rsidR="00E1154A" w:rsidRDefault="006932FC">
      <w:pPr>
        <w:pStyle w:val="a3"/>
        <w:spacing w:before="118" w:line="235" w:lineRule="auto"/>
        <w:ind w:right="102"/>
        <w:rPr>
          <w:rFonts w:ascii="Microsoft Sans Serif" w:hAnsi="Microsoft Sans Serif"/>
        </w:rPr>
      </w:pPr>
      <w:r>
        <w:rPr>
          <w:color w:val="134D9B"/>
          <w:spacing w:val="-2"/>
        </w:rPr>
        <w:t>У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відповідності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до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вимог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Закону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України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«Про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акціонерні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товариства»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від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27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липня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2022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року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№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2465</w:t>
      </w:r>
      <w:r>
        <w:rPr>
          <w:rFonts w:ascii="Microsoft Sans Serif" w:hAnsi="Microsoft Sans Serif"/>
          <w:color w:val="134D9B"/>
          <w:spacing w:val="-2"/>
        </w:rPr>
        <w:t>-</w:t>
      </w:r>
      <w:r>
        <w:rPr>
          <w:color w:val="134D9B"/>
          <w:spacing w:val="-2"/>
        </w:rPr>
        <w:t xml:space="preserve">ІХ </w:t>
      </w:r>
      <w:r>
        <w:rPr>
          <w:color w:val="134D9B"/>
          <w:spacing w:val="-6"/>
        </w:rPr>
        <w:t>та «Порядку скликання та проведення дистанційних загальних зборів акціонерів»,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6"/>
        </w:rPr>
        <w:t>затвердженого</w:t>
      </w:r>
      <w:r>
        <w:rPr>
          <w:color w:val="134D9B"/>
        </w:rPr>
        <w:t xml:space="preserve"> </w:t>
      </w:r>
      <w:r>
        <w:rPr>
          <w:color w:val="134D9B"/>
          <w:spacing w:val="-6"/>
        </w:rPr>
        <w:t xml:space="preserve">рішенням </w:t>
      </w:r>
      <w:r>
        <w:rPr>
          <w:color w:val="134D9B"/>
        </w:rPr>
        <w:t>Національної</w:t>
      </w:r>
      <w:r>
        <w:rPr>
          <w:color w:val="134D9B"/>
          <w:spacing w:val="-16"/>
        </w:rPr>
        <w:t xml:space="preserve"> </w:t>
      </w:r>
      <w:r>
        <w:rPr>
          <w:color w:val="134D9B"/>
        </w:rPr>
        <w:t>комісії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з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цінних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паперів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фондового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ринку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06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березня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2023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року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№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236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(далі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–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Порядок)</w:t>
      </w:r>
      <w:r>
        <w:rPr>
          <w:rFonts w:ascii="Microsoft Sans Serif" w:hAnsi="Microsoft Sans Serif"/>
          <w:color w:val="134D9B"/>
        </w:rPr>
        <w:t xml:space="preserve">, </w:t>
      </w:r>
      <w:r>
        <w:rPr>
          <w:color w:val="134D9B"/>
        </w:rPr>
        <w:t>Товариством наводиться інформація про перелік документів, що має надати акціонер (представник акціонера)</w:t>
      </w:r>
      <w:r>
        <w:rPr>
          <w:color w:val="134D9B"/>
          <w:spacing w:val="-10"/>
        </w:rPr>
        <w:t xml:space="preserve"> </w:t>
      </w:r>
      <w:r>
        <w:rPr>
          <w:color w:val="134D9B"/>
        </w:rPr>
        <w:t>для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його</w:t>
      </w:r>
      <w:r>
        <w:rPr>
          <w:color w:val="134D9B"/>
          <w:spacing w:val="-10"/>
        </w:rPr>
        <w:t xml:space="preserve"> </w:t>
      </w:r>
      <w:r>
        <w:rPr>
          <w:color w:val="134D9B"/>
        </w:rPr>
        <w:t>участі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у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загальних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зборах</w:t>
      </w:r>
      <w:r>
        <w:rPr>
          <w:rFonts w:ascii="Microsoft Sans Serif" w:hAnsi="Microsoft Sans Serif"/>
          <w:color w:val="134D9B"/>
        </w:rPr>
        <w:t>.</w:t>
      </w:r>
    </w:p>
    <w:p w:rsidR="00E1154A" w:rsidRDefault="006932FC">
      <w:pPr>
        <w:spacing w:before="116" w:line="264" w:lineRule="auto"/>
        <w:ind w:left="154" w:right="173"/>
        <w:jc w:val="center"/>
        <w:rPr>
          <w:rFonts w:ascii="Georgia" w:hAnsi="Georgia"/>
          <w:b/>
          <w:sz w:val="28"/>
        </w:rPr>
      </w:pPr>
      <w:r>
        <w:rPr>
          <w:rFonts w:ascii="Georgia" w:hAnsi="Georgia"/>
          <w:b/>
          <w:color w:val="134D9B"/>
          <w:w w:val="80"/>
          <w:sz w:val="28"/>
        </w:rPr>
        <w:t>Порядок участі та голосування акціонерів особисто (їх представників за</w:t>
      </w:r>
      <w:r>
        <w:rPr>
          <w:rFonts w:ascii="Georgia" w:hAnsi="Georgia"/>
          <w:b/>
          <w:color w:val="134D9B"/>
          <w:spacing w:val="80"/>
          <w:sz w:val="28"/>
        </w:rPr>
        <w:t xml:space="preserve"> </w:t>
      </w:r>
      <w:r>
        <w:rPr>
          <w:rFonts w:ascii="Georgia" w:hAnsi="Georgia"/>
          <w:b/>
          <w:color w:val="134D9B"/>
          <w:w w:val="80"/>
          <w:sz w:val="28"/>
        </w:rPr>
        <w:t>довіреністю) на Загальних зборах, що проводяться дистанційно,</w:t>
      </w:r>
      <w:r>
        <w:rPr>
          <w:rFonts w:ascii="Georgia" w:hAnsi="Georgia"/>
          <w:b/>
          <w:color w:val="134D9B"/>
          <w:sz w:val="28"/>
        </w:rPr>
        <w:t xml:space="preserve"> </w:t>
      </w:r>
      <w:r>
        <w:rPr>
          <w:rFonts w:ascii="Georgia" w:hAnsi="Georgia"/>
          <w:b/>
          <w:color w:val="134D9B"/>
          <w:w w:val="85"/>
          <w:sz w:val="28"/>
        </w:rPr>
        <w:t xml:space="preserve">визначається відповідно до Розділів </w:t>
      </w:r>
      <w:r>
        <w:rPr>
          <w:b/>
          <w:color w:val="134D9B"/>
          <w:w w:val="85"/>
          <w:sz w:val="28"/>
        </w:rPr>
        <w:t xml:space="preserve">XII, </w:t>
      </w:r>
      <w:r>
        <w:rPr>
          <w:rFonts w:ascii="Georgia" w:hAnsi="Georgia"/>
          <w:b/>
          <w:color w:val="134D9B"/>
          <w:w w:val="85"/>
          <w:sz w:val="28"/>
        </w:rPr>
        <w:t xml:space="preserve">XІІІ та </w:t>
      </w:r>
      <w:r>
        <w:rPr>
          <w:b/>
          <w:color w:val="134D9B"/>
          <w:w w:val="85"/>
          <w:sz w:val="28"/>
        </w:rPr>
        <w:t xml:space="preserve">XVI </w:t>
      </w:r>
      <w:r>
        <w:rPr>
          <w:rFonts w:ascii="Georgia" w:hAnsi="Georgia"/>
          <w:b/>
          <w:color w:val="134D9B"/>
          <w:w w:val="85"/>
          <w:sz w:val="28"/>
        </w:rPr>
        <w:t>Порядку.</w:t>
      </w:r>
    </w:p>
    <w:p w:rsidR="00E1154A" w:rsidRDefault="006932FC">
      <w:pPr>
        <w:pStyle w:val="a3"/>
        <w:spacing w:before="163" w:line="264" w:lineRule="auto"/>
        <w:ind w:right="121"/>
      </w:pPr>
      <w:r>
        <w:rPr>
          <w:color w:val="134D9B"/>
          <w:spacing w:val="-4"/>
        </w:rPr>
        <w:t>Для реєстрації акціонерів (їх представників) таким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акціонером (представником акціонера) направляються бюлетені для голосування на адресу електронної пошти депозитарної установи,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 xml:space="preserve">яка обслуговує рахунок в </w:t>
      </w:r>
      <w:r>
        <w:rPr>
          <w:color w:val="134D9B"/>
        </w:rPr>
        <w:t xml:space="preserve">цінних паперах такого акціонера, на якому обліковуються належні акціонеру акції акціонерного </w:t>
      </w:r>
      <w:r>
        <w:rPr>
          <w:color w:val="134D9B"/>
          <w:spacing w:val="-4"/>
        </w:rPr>
        <w:t>Товариства.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У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4"/>
        </w:rPr>
        <w:t>випадку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4"/>
        </w:rPr>
        <w:t>направлення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бюлетеня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для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голосування,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підписаного представником акціонера,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 xml:space="preserve">до </w:t>
      </w:r>
      <w:r>
        <w:rPr>
          <w:color w:val="134D9B"/>
          <w:spacing w:val="-2"/>
        </w:rPr>
        <w:t>бюлетеня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для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голосування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додаються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документи,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що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підтверджують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повноваження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такого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 xml:space="preserve">представника </w:t>
      </w:r>
      <w:r>
        <w:rPr>
          <w:color w:val="134D9B"/>
        </w:rPr>
        <w:t>акціонера</w:t>
      </w:r>
      <w:r>
        <w:rPr>
          <w:color w:val="134D9B"/>
          <w:spacing w:val="-10"/>
        </w:rPr>
        <w:t xml:space="preserve"> </w:t>
      </w:r>
      <w:r>
        <w:rPr>
          <w:color w:val="134D9B"/>
        </w:rPr>
        <w:t>або</w:t>
      </w:r>
      <w:r>
        <w:rPr>
          <w:color w:val="134D9B"/>
          <w:spacing w:val="-9"/>
        </w:rPr>
        <w:t xml:space="preserve"> </w:t>
      </w:r>
      <w:r>
        <w:rPr>
          <w:color w:val="134D9B"/>
        </w:rPr>
        <w:t>їх</w:t>
      </w:r>
      <w:r>
        <w:rPr>
          <w:color w:val="134D9B"/>
          <w:spacing w:val="-11"/>
        </w:rPr>
        <w:t xml:space="preserve"> </w:t>
      </w:r>
      <w:r>
        <w:rPr>
          <w:color w:val="134D9B"/>
        </w:rPr>
        <w:t>належним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чином</w:t>
      </w:r>
      <w:r>
        <w:rPr>
          <w:color w:val="134D9B"/>
          <w:spacing w:val="-11"/>
        </w:rPr>
        <w:t xml:space="preserve"> </w:t>
      </w:r>
      <w:r>
        <w:rPr>
          <w:color w:val="134D9B"/>
        </w:rPr>
        <w:t>засвідчені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копії.</w:t>
      </w:r>
    </w:p>
    <w:p w:rsidR="00E1154A" w:rsidRDefault="006932FC">
      <w:pPr>
        <w:pStyle w:val="a3"/>
        <w:spacing w:before="155" w:line="268" w:lineRule="auto"/>
        <w:ind w:right="123"/>
      </w:pPr>
      <w:r>
        <w:rPr>
          <w:color w:val="134D9B"/>
        </w:rPr>
        <w:t>Голосування на Загальних зборах з питань порядку денного проводиться виключно з використанням бюлетенів для голосування.</w:t>
      </w:r>
    </w:p>
    <w:p w:rsidR="00E1154A" w:rsidRDefault="006932FC">
      <w:pPr>
        <w:pStyle w:val="a3"/>
        <w:spacing w:before="149" w:line="264" w:lineRule="auto"/>
        <w:ind w:right="115"/>
      </w:pPr>
      <w:r>
        <w:rPr>
          <w:color w:val="134D9B"/>
          <w:spacing w:val="-2"/>
        </w:rPr>
        <w:t>Моментом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початку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голосування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акціонерів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є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дата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розміщення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Товариством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2"/>
        </w:rPr>
        <w:t>бюлетенів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для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голосування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 xml:space="preserve">у </w:t>
      </w:r>
      <w:r>
        <w:rPr>
          <w:color w:val="134D9B"/>
        </w:rPr>
        <w:t xml:space="preserve">вільному для акціонерів доступі. Електронна форма затвердженої форми бюлетеня розміщується у </w:t>
      </w:r>
      <w:r>
        <w:rPr>
          <w:color w:val="134D9B"/>
          <w:spacing w:val="-2"/>
        </w:rPr>
        <w:t>вільному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для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акціонерів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доступі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не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пізніше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11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години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дня,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зазначеного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як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дата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розміщення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бюлетеню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 xml:space="preserve">для </w:t>
      </w:r>
      <w:r>
        <w:rPr>
          <w:color w:val="134D9B"/>
          <w:spacing w:val="-4"/>
        </w:rPr>
        <w:t>голосування,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за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посиланням,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вказаним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на</w:t>
      </w:r>
      <w:r>
        <w:rPr>
          <w:color w:val="134D9B"/>
          <w:spacing w:val="-10"/>
        </w:rPr>
        <w:t xml:space="preserve"> </w:t>
      </w:r>
      <w:proofErr w:type="spellStart"/>
      <w:r>
        <w:rPr>
          <w:color w:val="134D9B"/>
          <w:spacing w:val="-4"/>
        </w:rPr>
        <w:t>веб</w:t>
      </w:r>
      <w:r>
        <w:rPr>
          <w:rFonts w:ascii="Microsoft Sans Serif" w:hAnsi="Microsoft Sans Serif"/>
          <w:color w:val="134D9B"/>
          <w:spacing w:val="-4"/>
        </w:rPr>
        <w:t>-</w:t>
      </w:r>
      <w:r>
        <w:rPr>
          <w:color w:val="134D9B"/>
          <w:spacing w:val="-4"/>
        </w:rPr>
        <w:t>сайті</w:t>
      </w:r>
      <w:proofErr w:type="spellEnd"/>
      <w:r>
        <w:rPr>
          <w:color w:val="134D9B"/>
          <w:spacing w:val="-4"/>
        </w:rPr>
        <w:t>,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зазначеному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в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повідомленні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про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проведення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 xml:space="preserve">загальних </w:t>
      </w:r>
      <w:r>
        <w:rPr>
          <w:color w:val="134D9B"/>
          <w:spacing w:val="-2"/>
        </w:rPr>
        <w:t>зборів.</w:t>
      </w:r>
      <w:r>
        <w:rPr>
          <w:color w:val="134D9B"/>
          <w:spacing w:val="-14"/>
        </w:rPr>
        <w:t xml:space="preserve"> </w:t>
      </w:r>
      <w:r>
        <w:rPr>
          <w:color w:val="134D9B"/>
          <w:spacing w:val="-2"/>
        </w:rPr>
        <w:t>Моментом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закінчення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голосування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акціонерів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є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18</w:t>
      </w:r>
      <w:r>
        <w:rPr>
          <w:rFonts w:ascii="Microsoft Sans Serif" w:hAnsi="Microsoft Sans Serif"/>
          <w:color w:val="134D9B"/>
          <w:spacing w:val="-2"/>
        </w:rPr>
        <w:t>:</w:t>
      </w:r>
      <w:r>
        <w:rPr>
          <w:color w:val="134D9B"/>
          <w:spacing w:val="-2"/>
        </w:rPr>
        <w:t>00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год.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дати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проведення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загальних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зборів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 xml:space="preserve">(дати </w:t>
      </w:r>
      <w:r>
        <w:rPr>
          <w:color w:val="134D9B"/>
        </w:rPr>
        <w:t>закінчення голосування –</w:t>
      </w:r>
      <w:r w:rsidR="00280B47">
        <w:rPr>
          <w:color w:val="134D9B"/>
        </w:rPr>
        <w:t>14квітня 2026</w:t>
      </w:r>
      <w:r>
        <w:rPr>
          <w:color w:val="134D9B"/>
        </w:rPr>
        <w:t>року). Бюлетень, отриманий</w:t>
      </w:r>
      <w:r>
        <w:rPr>
          <w:color w:val="134D9B"/>
          <w:spacing w:val="-3"/>
        </w:rPr>
        <w:t xml:space="preserve"> </w:t>
      </w:r>
      <w:r>
        <w:rPr>
          <w:color w:val="134D9B"/>
        </w:rPr>
        <w:t xml:space="preserve">депозитарною установою після </w:t>
      </w:r>
      <w:r>
        <w:rPr>
          <w:color w:val="134D9B"/>
          <w:spacing w:val="-2"/>
        </w:rPr>
        <w:t>завершення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часу,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відведеного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на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голосування,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вважається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таким,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що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не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подавався.</w:t>
      </w:r>
    </w:p>
    <w:p w:rsidR="00E1154A" w:rsidRDefault="00E1154A">
      <w:pPr>
        <w:spacing w:line="264" w:lineRule="auto"/>
        <w:sectPr w:rsidR="00E1154A">
          <w:type w:val="continuous"/>
          <w:pgSz w:w="11910" w:h="16840"/>
          <w:pgMar w:top="1120" w:right="740" w:bottom="280" w:left="1300" w:header="720" w:footer="720" w:gutter="0"/>
          <w:cols w:space="720"/>
        </w:sectPr>
      </w:pPr>
    </w:p>
    <w:p w:rsidR="00E1154A" w:rsidRDefault="006932FC">
      <w:pPr>
        <w:pStyle w:val="a3"/>
        <w:spacing w:before="56" w:line="266" w:lineRule="auto"/>
        <w:ind w:right="127"/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59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383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92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34D9B"/>
          <w:spacing w:val="-2"/>
        </w:rPr>
        <w:t>Бюлетень</w:t>
      </w:r>
      <w:r>
        <w:rPr>
          <w:color w:val="134D9B"/>
          <w:spacing w:val="-8"/>
        </w:rPr>
        <w:t xml:space="preserve"> </w:t>
      </w:r>
      <w:r>
        <w:rPr>
          <w:color w:val="134D9B"/>
          <w:spacing w:val="-2"/>
        </w:rPr>
        <w:t>для</w:t>
      </w:r>
      <w:r>
        <w:rPr>
          <w:color w:val="134D9B"/>
          <w:spacing w:val="-4"/>
        </w:rPr>
        <w:t xml:space="preserve"> </w:t>
      </w:r>
      <w:r>
        <w:rPr>
          <w:color w:val="134D9B"/>
          <w:spacing w:val="-2"/>
        </w:rPr>
        <w:t>голосування</w:t>
      </w:r>
      <w:r>
        <w:rPr>
          <w:color w:val="134D9B"/>
          <w:spacing w:val="-8"/>
        </w:rPr>
        <w:t xml:space="preserve"> </w:t>
      </w:r>
      <w:r>
        <w:rPr>
          <w:color w:val="134D9B"/>
          <w:spacing w:val="-2"/>
        </w:rPr>
        <w:t>на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2"/>
        </w:rPr>
        <w:t>загальних</w:t>
      </w:r>
      <w:r>
        <w:rPr>
          <w:color w:val="134D9B"/>
          <w:spacing w:val="-8"/>
        </w:rPr>
        <w:t xml:space="preserve"> </w:t>
      </w:r>
      <w:r>
        <w:rPr>
          <w:color w:val="134D9B"/>
          <w:spacing w:val="-2"/>
        </w:rPr>
        <w:t>зборах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2"/>
        </w:rPr>
        <w:t>засвідчується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2"/>
        </w:rPr>
        <w:t>КЕП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2"/>
        </w:rPr>
        <w:t>акціонера</w:t>
      </w:r>
      <w:r>
        <w:rPr>
          <w:color w:val="134D9B"/>
          <w:spacing w:val="-3"/>
        </w:rPr>
        <w:t xml:space="preserve"> </w:t>
      </w:r>
      <w:r>
        <w:rPr>
          <w:color w:val="134D9B"/>
          <w:spacing w:val="-2"/>
        </w:rPr>
        <w:t>(його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2"/>
        </w:rPr>
        <w:t>представника)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2"/>
        </w:rPr>
        <w:t>та/або іншим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2"/>
        </w:rPr>
        <w:t>засобом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2"/>
        </w:rPr>
        <w:t>електронної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2"/>
        </w:rPr>
        <w:t>ідентифікації,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2"/>
        </w:rPr>
        <w:t>що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відповідає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2"/>
        </w:rPr>
        <w:t>вимогам,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2"/>
        </w:rPr>
        <w:t>визначеним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2"/>
        </w:rPr>
        <w:t>Національною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2"/>
        </w:rPr>
        <w:t>комісією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2"/>
        </w:rPr>
        <w:t xml:space="preserve">з </w:t>
      </w:r>
      <w:r>
        <w:rPr>
          <w:color w:val="134D9B"/>
        </w:rPr>
        <w:t>цінних паперів та фондового ринку.</w:t>
      </w:r>
    </w:p>
    <w:p w:rsidR="00E1154A" w:rsidRDefault="006932FC">
      <w:pPr>
        <w:pStyle w:val="a3"/>
        <w:spacing w:before="151" w:line="264" w:lineRule="auto"/>
        <w:ind w:right="114"/>
      </w:pPr>
      <w:r>
        <w:rPr>
          <w:color w:val="134D9B"/>
          <w:spacing w:val="-4"/>
        </w:rPr>
        <w:t>У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разі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відмови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4"/>
        </w:rPr>
        <w:t>депозитарної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4"/>
        </w:rPr>
        <w:t>установи</w:t>
      </w:r>
      <w:r>
        <w:rPr>
          <w:color w:val="134D9B"/>
          <w:spacing w:val="-8"/>
        </w:rPr>
        <w:t xml:space="preserve"> </w:t>
      </w:r>
      <w:r>
        <w:rPr>
          <w:color w:val="134D9B"/>
          <w:spacing w:val="-4"/>
        </w:rPr>
        <w:t>у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прийнятті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4"/>
        </w:rPr>
        <w:t>бюлетеня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для</w:t>
      </w:r>
      <w:r>
        <w:rPr>
          <w:color w:val="134D9B"/>
          <w:spacing w:val="-8"/>
        </w:rPr>
        <w:t xml:space="preserve"> </w:t>
      </w:r>
      <w:r>
        <w:rPr>
          <w:color w:val="134D9B"/>
          <w:spacing w:val="-4"/>
        </w:rPr>
        <w:t>голосування,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акціонер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(його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представник) має право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до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завершення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4"/>
        </w:rPr>
        <w:t>голосування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4"/>
        </w:rPr>
        <w:t>на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4"/>
        </w:rPr>
        <w:t>загальних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4"/>
        </w:rPr>
        <w:t>зборах направити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4"/>
        </w:rPr>
        <w:t>бюлетень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4"/>
        </w:rPr>
        <w:t xml:space="preserve">для голосування, оригінал </w:t>
      </w:r>
      <w:r>
        <w:rPr>
          <w:color w:val="134D9B"/>
        </w:rPr>
        <w:t>або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належно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засвідчену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копію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відмови</w:t>
      </w:r>
      <w:r>
        <w:rPr>
          <w:color w:val="134D9B"/>
          <w:spacing w:val="-12"/>
        </w:rPr>
        <w:t xml:space="preserve"> </w:t>
      </w:r>
      <w:r>
        <w:rPr>
          <w:color w:val="134D9B"/>
        </w:rPr>
        <w:t>депозитарної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установи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у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прийнятті</w:t>
      </w:r>
      <w:r>
        <w:rPr>
          <w:color w:val="134D9B"/>
          <w:spacing w:val="-11"/>
        </w:rPr>
        <w:t xml:space="preserve"> </w:t>
      </w:r>
      <w:r>
        <w:rPr>
          <w:color w:val="134D9B"/>
        </w:rPr>
        <w:t>бюлетеня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для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голосування,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 xml:space="preserve">а </w:t>
      </w:r>
      <w:r>
        <w:rPr>
          <w:color w:val="134D9B"/>
          <w:spacing w:val="-2"/>
        </w:rPr>
        <w:t>також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оригінали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та/або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належним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чином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засвідчені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копії</w:t>
      </w:r>
      <w:r>
        <w:rPr>
          <w:color w:val="134D9B"/>
          <w:spacing w:val="-11"/>
        </w:rPr>
        <w:t xml:space="preserve"> </w:t>
      </w:r>
      <w:r>
        <w:rPr>
          <w:color w:val="134D9B"/>
          <w:spacing w:val="-2"/>
        </w:rPr>
        <w:t>документів,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що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підтверджують</w:t>
      </w:r>
      <w:r>
        <w:rPr>
          <w:color w:val="134D9B"/>
          <w:spacing w:val="-12"/>
        </w:rPr>
        <w:t xml:space="preserve"> </w:t>
      </w:r>
      <w:r>
        <w:rPr>
          <w:color w:val="134D9B"/>
          <w:spacing w:val="-2"/>
        </w:rPr>
        <w:t>особу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2"/>
        </w:rPr>
        <w:t xml:space="preserve">акціонера </w:t>
      </w:r>
      <w:r>
        <w:rPr>
          <w:color w:val="134D9B"/>
        </w:rPr>
        <w:t xml:space="preserve">(представника акціонера), повноваження представника акціонера (у разі підписання бюлетеня для голосування представником акціонера) на адресу електронної пошти, зазначену в повідомленні про </w:t>
      </w:r>
      <w:r>
        <w:rPr>
          <w:color w:val="134D9B"/>
          <w:spacing w:val="-4"/>
        </w:rPr>
        <w:t>проведення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загальних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зборів,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на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яку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акціонер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може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направити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запит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щодо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ознайомлення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з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матеріалами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 xml:space="preserve">під </w:t>
      </w:r>
      <w:r>
        <w:rPr>
          <w:color w:val="134D9B"/>
        </w:rPr>
        <w:t>час підготовки до загальних зборів та/або запитання щодо порядку денного загальних зборів та/або направити</w:t>
      </w:r>
      <w:r>
        <w:rPr>
          <w:color w:val="134D9B"/>
          <w:spacing w:val="-6"/>
        </w:rPr>
        <w:t xml:space="preserve"> </w:t>
      </w:r>
      <w:r>
        <w:rPr>
          <w:color w:val="134D9B"/>
        </w:rPr>
        <w:t>пропозиції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до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порядку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денного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>загальних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зборів</w:t>
      </w:r>
      <w:r>
        <w:rPr>
          <w:color w:val="134D9B"/>
          <w:spacing w:val="-3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-3"/>
        </w:rPr>
        <w:t xml:space="preserve"> </w:t>
      </w:r>
      <w:r>
        <w:rPr>
          <w:color w:val="134D9B"/>
        </w:rPr>
        <w:t>проектів</w:t>
      </w:r>
      <w:r>
        <w:rPr>
          <w:color w:val="134D9B"/>
          <w:spacing w:val="-3"/>
        </w:rPr>
        <w:t xml:space="preserve"> </w:t>
      </w:r>
      <w:r>
        <w:rPr>
          <w:color w:val="134D9B"/>
        </w:rPr>
        <w:t>рішень.</w:t>
      </w:r>
      <w:r>
        <w:rPr>
          <w:color w:val="134D9B"/>
          <w:spacing w:val="-7"/>
        </w:rPr>
        <w:t xml:space="preserve"> </w:t>
      </w:r>
      <w:r>
        <w:rPr>
          <w:color w:val="134D9B"/>
        </w:rPr>
        <w:t>У</w:t>
      </w:r>
      <w:r>
        <w:rPr>
          <w:color w:val="134D9B"/>
          <w:spacing w:val="-4"/>
        </w:rPr>
        <w:t xml:space="preserve"> </w:t>
      </w:r>
      <w:r>
        <w:rPr>
          <w:color w:val="134D9B"/>
        </w:rPr>
        <w:t>такому</w:t>
      </w:r>
      <w:r>
        <w:rPr>
          <w:color w:val="134D9B"/>
          <w:spacing w:val="-4"/>
        </w:rPr>
        <w:t xml:space="preserve"> </w:t>
      </w:r>
      <w:r>
        <w:rPr>
          <w:color w:val="134D9B"/>
        </w:rPr>
        <w:t>разі</w:t>
      </w:r>
      <w:r>
        <w:rPr>
          <w:color w:val="134D9B"/>
          <w:spacing w:val="-5"/>
        </w:rPr>
        <w:t xml:space="preserve"> </w:t>
      </w:r>
      <w:r>
        <w:rPr>
          <w:color w:val="134D9B"/>
        </w:rPr>
        <w:t xml:space="preserve">акціонер </w:t>
      </w:r>
      <w:r>
        <w:rPr>
          <w:color w:val="134D9B"/>
          <w:spacing w:val="-4"/>
        </w:rPr>
        <w:t xml:space="preserve">(його представник) одночасно направляє копію відмови депозитарної установи у прийнятті бюлетеня для </w:t>
      </w:r>
      <w:r>
        <w:rPr>
          <w:color w:val="134D9B"/>
        </w:rPr>
        <w:t>голосування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до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Національної</w:t>
      </w:r>
      <w:r>
        <w:rPr>
          <w:color w:val="134D9B"/>
          <w:spacing w:val="-9"/>
        </w:rPr>
        <w:t xml:space="preserve"> </w:t>
      </w:r>
      <w:r>
        <w:rPr>
          <w:color w:val="134D9B"/>
        </w:rPr>
        <w:t>комісії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з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цінних</w:t>
      </w:r>
      <w:r>
        <w:rPr>
          <w:color w:val="134D9B"/>
          <w:spacing w:val="-11"/>
        </w:rPr>
        <w:t xml:space="preserve"> </w:t>
      </w:r>
      <w:r>
        <w:rPr>
          <w:color w:val="134D9B"/>
        </w:rPr>
        <w:t>паперів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та</w:t>
      </w:r>
      <w:r>
        <w:rPr>
          <w:color w:val="134D9B"/>
          <w:spacing w:val="-9"/>
        </w:rPr>
        <w:t xml:space="preserve"> </w:t>
      </w:r>
      <w:r>
        <w:rPr>
          <w:color w:val="134D9B"/>
        </w:rPr>
        <w:t>фондового</w:t>
      </w:r>
      <w:r>
        <w:rPr>
          <w:color w:val="134D9B"/>
          <w:spacing w:val="-12"/>
        </w:rPr>
        <w:t xml:space="preserve"> </w:t>
      </w:r>
      <w:r>
        <w:rPr>
          <w:color w:val="134D9B"/>
        </w:rPr>
        <w:t>ринку.</w:t>
      </w:r>
    </w:p>
    <w:p w:rsidR="00E1154A" w:rsidRDefault="006932FC">
      <w:pPr>
        <w:pStyle w:val="a3"/>
        <w:spacing w:before="152" w:line="266" w:lineRule="auto"/>
        <w:ind w:right="114"/>
      </w:pPr>
      <w:r>
        <w:rPr>
          <w:color w:val="134D9B"/>
        </w:rPr>
        <w:t xml:space="preserve">Особам, яким рахунок в цінних паперах відкрито депозитарною установою на підставі договору з </w:t>
      </w:r>
      <w:r>
        <w:rPr>
          <w:color w:val="134D9B"/>
          <w:spacing w:val="-6"/>
        </w:rPr>
        <w:t>емітентом, для забезпечення реалізації</w:t>
      </w:r>
      <w:r>
        <w:rPr>
          <w:color w:val="134D9B"/>
        </w:rPr>
        <w:t xml:space="preserve"> </w:t>
      </w:r>
      <w:r>
        <w:rPr>
          <w:color w:val="134D9B"/>
          <w:spacing w:val="-6"/>
        </w:rPr>
        <w:t>права</w:t>
      </w:r>
      <w:r>
        <w:rPr>
          <w:color w:val="134D9B"/>
        </w:rPr>
        <w:t xml:space="preserve"> </w:t>
      </w:r>
      <w:r>
        <w:rPr>
          <w:color w:val="134D9B"/>
          <w:spacing w:val="-6"/>
        </w:rPr>
        <w:t>на</w:t>
      </w:r>
      <w:r>
        <w:rPr>
          <w:color w:val="134D9B"/>
        </w:rPr>
        <w:t xml:space="preserve"> </w:t>
      </w:r>
      <w:r>
        <w:rPr>
          <w:color w:val="134D9B"/>
          <w:spacing w:val="-6"/>
        </w:rPr>
        <w:t xml:space="preserve">участь у дистанційних Загальних зборах необхідно укласти </w:t>
      </w:r>
      <w:r>
        <w:rPr>
          <w:color w:val="134D9B"/>
        </w:rPr>
        <w:t>договір</w:t>
      </w:r>
      <w:r>
        <w:rPr>
          <w:color w:val="134D9B"/>
          <w:spacing w:val="-8"/>
        </w:rPr>
        <w:t xml:space="preserve"> </w:t>
      </w:r>
      <w:r>
        <w:rPr>
          <w:color w:val="134D9B"/>
        </w:rPr>
        <w:t>з</w:t>
      </w:r>
      <w:r>
        <w:rPr>
          <w:color w:val="134D9B"/>
          <w:spacing w:val="-10"/>
        </w:rPr>
        <w:t xml:space="preserve"> </w:t>
      </w:r>
      <w:r>
        <w:rPr>
          <w:color w:val="134D9B"/>
        </w:rPr>
        <w:t>депозитарними</w:t>
      </w:r>
      <w:r>
        <w:rPr>
          <w:color w:val="134D9B"/>
          <w:spacing w:val="-6"/>
        </w:rPr>
        <w:t xml:space="preserve"> </w:t>
      </w:r>
      <w:r>
        <w:rPr>
          <w:color w:val="134D9B"/>
        </w:rPr>
        <w:t>установами</w:t>
      </w:r>
      <w:r>
        <w:rPr>
          <w:color w:val="134D9B"/>
          <w:spacing w:val="-11"/>
        </w:rPr>
        <w:t xml:space="preserve"> </w:t>
      </w:r>
      <w:r>
        <w:rPr>
          <w:color w:val="134D9B"/>
        </w:rPr>
        <w:t>самостійно.</w:t>
      </w:r>
    </w:p>
    <w:p w:rsidR="00E1154A" w:rsidRDefault="006932FC">
      <w:pPr>
        <w:pStyle w:val="a3"/>
        <w:spacing w:before="151" w:line="264" w:lineRule="auto"/>
        <w:ind w:right="110"/>
      </w:pPr>
      <w:r>
        <w:rPr>
          <w:color w:val="134D9B"/>
          <w:spacing w:val="-4"/>
        </w:rPr>
        <w:t>Відповідно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до рішення Національної комісії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з цінних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паперів та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фондового ринку 06 березня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4"/>
        </w:rPr>
        <w:t xml:space="preserve">2023 року № </w:t>
      </w:r>
      <w:r>
        <w:rPr>
          <w:color w:val="134D9B"/>
        </w:rPr>
        <w:t>240,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у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період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дії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воєнного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стану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бюлетені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для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голосування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на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дистанційних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>загальних</w:t>
      </w:r>
      <w:r>
        <w:rPr>
          <w:color w:val="134D9B"/>
          <w:spacing w:val="-13"/>
        </w:rPr>
        <w:t xml:space="preserve"> </w:t>
      </w:r>
      <w:r>
        <w:rPr>
          <w:color w:val="134D9B"/>
        </w:rPr>
        <w:t>зборах</w:t>
      </w:r>
      <w:r>
        <w:rPr>
          <w:color w:val="134D9B"/>
          <w:spacing w:val="-14"/>
        </w:rPr>
        <w:t xml:space="preserve"> </w:t>
      </w:r>
      <w:r>
        <w:rPr>
          <w:color w:val="134D9B"/>
        </w:rPr>
        <w:t xml:space="preserve">акціонерів можуть також подаватися шляхом подання бюлетенів в паперовій формі до депозитарної установи (у випадку відмови депозитарної установи у прийнятті бюлетеня – до акціонерного товариства, орган </w:t>
      </w:r>
      <w:r>
        <w:rPr>
          <w:color w:val="134D9B"/>
          <w:spacing w:val="-4"/>
        </w:rPr>
        <w:t>управління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якого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скликає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загальні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збори,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за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місцезнаходженням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товариства).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>У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разі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подання</w:t>
      </w:r>
      <w:r>
        <w:rPr>
          <w:color w:val="134D9B"/>
          <w:spacing w:val="-10"/>
        </w:rPr>
        <w:t xml:space="preserve"> </w:t>
      </w:r>
      <w:r>
        <w:rPr>
          <w:color w:val="134D9B"/>
          <w:spacing w:val="-4"/>
        </w:rPr>
        <w:t>бюлетенів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4"/>
        </w:rPr>
        <w:t xml:space="preserve">для </w:t>
      </w:r>
      <w:r>
        <w:rPr>
          <w:color w:val="134D9B"/>
          <w:spacing w:val="-2"/>
        </w:rPr>
        <w:t>голосування</w:t>
      </w:r>
      <w:r>
        <w:rPr>
          <w:color w:val="134D9B"/>
          <w:spacing w:val="-4"/>
        </w:rPr>
        <w:t xml:space="preserve"> </w:t>
      </w:r>
      <w:r>
        <w:rPr>
          <w:color w:val="134D9B"/>
          <w:spacing w:val="-2"/>
        </w:rPr>
        <w:t>в</w:t>
      </w:r>
      <w:r>
        <w:rPr>
          <w:color w:val="134D9B"/>
          <w:spacing w:val="-4"/>
        </w:rPr>
        <w:t xml:space="preserve"> </w:t>
      </w:r>
      <w:r>
        <w:rPr>
          <w:color w:val="134D9B"/>
          <w:spacing w:val="-2"/>
        </w:rPr>
        <w:t>паперовій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2"/>
        </w:rPr>
        <w:t>формі,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2"/>
        </w:rPr>
        <w:t>підпис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2"/>
        </w:rPr>
        <w:t>акціонера (представника</w:t>
      </w:r>
      <w:r>
        <w:rPr>
          <w:color w:val="134D9B"/>
          <w:spacing w:val="-4"/>
        </w:rPr>
        <w:t xml:space="preserve"> </w:t>
      </w:r>
      <w:r>
        <w:rPr>
          <w:color w:val="134D9B"/>
          <w:spacing w:val="-2"/>
        </w:rPr>
        <w:t>акціонера)</w:t>
      </w:r>
      <w:r>
        <w:rPr>
          <w:color w:val="134D9B"/>
          <w:spacing w:val="-3"/>
        </w:rPr>
        <w:t xml:space="preserve"> </w:t>
      </w:r>
      <w:r>
        <w:rPr>
          <w:color w:val="134D9B"/>
          <w:spacing w:val="-2"/>
        </w:rPr>
        <w:t>на бюлетені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2"/>
        </w:rPr>
        <w:t>засвідчується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2"/>
        </w:rPr>
        <w:t xml:space="preserve">за </w:t>
      </w:r>
      <w:r>
        <w:rPr>
          <w:color w:val="134D9B"/>
        </w:rPr>
        <w:t xml:space="preserve">його вибором або нотаріально (за умови підписання бюлетеня в присутності нотаріуса або посадової </w:t>
      </w:r>
      <w:r>
        <w:rPr>
          <w:color w:val="134D9B"/>
          <w:spacing w:val="-4"/>
        </w:rPr>
        <w:t>особи, яка вчиняє нотаріальні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4"/>
        </w:rPr>
        <w:t>дії), або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4"/>
        </w:rPr>
        <w:t>депозитарною</w:t>
      </w:r>
      <w:r>
        <w:rPr>
          <w:color w:val="134D9B"/>
          <w:spacing w:val="-8"/>
        </w:rPr>
        <w:t xml:space="preserve"> </w:t>
      </w:r>
      <w:r>
        <w:rPr>
          <w:color w:val="134D9B"/>
          <w:spacing w:val="-4"/>
        </w:rPr>
        <w:t>установою, що</w:t>
      </w:r>
      <w:r>
        <w:rPr>
          <w:color w:val="134D9B"/>
          <w:spacing w:val="-6"/>
        </w:rPr>
        <w:t xml:space="preserve"> </w:t>
      </w:r>
      <w:r>
        <w:rPr>
          <w:color w:val="134D9B"/>
          <w:spacing w:val="-4"/>
        </w:rPr>
        <w:t xml:space="preserve">обслуговує рахунок в цінних паперах </w:t>
      </w:r>
      <w:r>
        <w:rPr>
          <w:color w:val="134D9B"/>
        </w:rPr>
        <w:t xml:space="preserve">такого акціонера, на якому обліковуються належні акціонеру акції товариства (за умови підписання бюлетеня в присутності уповноваженої особи депозитарної установи). У разі якщо бюлетень для </w:t>
      </w:r>
      <w:r>
        <w:rPr>
          <w:color w:val="134D9B"/>
          <w:spacing w:val="-4"/>
        </w:rPr>
        <w:t>голосування, поданий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в паперовій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формі,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складається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з кількох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>аркушів, сторінки бюлетеня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4"/>
        </w:rPr>
        <w:t xml:space="preserve">нумеруються, </w:t>
      </w:r>
      <w:r>
        <w:rPr>
          <w:color w:val="134D9B"/>
          <w:spacing w:val="-2"/>
        </w:rPr>
        <w:t>а</w:t>
      </w:r>
      <w:r>
        <w:rPr>
          <w:color w:val="134D9B"/>
          <w:spacing w:val="-4"/>
        </w:rPr>
        <w:t xml:space="preserve"> </w:t>
      </w:r>
      <w:r>
        <w:rPr>
          <w:color w:val="134D9B"/>
          <w:spacing w:val="-2"/>
        </w:rPr>
        <w:t>кожен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2"/>
        </w:rPr>
        <w:t>аркуш</w:t>
      </w:r>
      <w:r>
        <w:rPr>
          <w:color w:val="134D9B"/>
          <w:spacing w:val="-7"/>
        </w:rPr>
        <w:t xml:space="preserve"> </w:t>
      </w:r>
      <w:r>
        <w:rPr>
          <w:color w:val="134D9B"/>
          <w:spacing w:val="-2"/>
        </w:rPr>
        <w:t>підписується</w:t>
      </w:r>
      <w:r>
        <w:rPr>
          <w:color w:val="134D9B"/>
          <w:spacing w:val="-9"/>
        </w:rPr>
        <w:t xml:space="preserve"> </w:t>
      </w:r>
      <w:r>
        <w:rPr>
          <w:color w:val="134D9B"/>
          <w:spacing w:val="-2"/>
        </w:rPr>
        <w:t>акціонером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2"/>
        </w:rPr>
        <w:t>(представником</w:t>
      </w:r>
      <w:r>
        <w:rPr>
          <w:color w:val="134D9B"/>
          <w:spacing w:val="-5"/>
        </w:rPr>
        <w:t xml:space="preserve"> </w:t>
      </w:r>
      <w:r>
        <w:rPr>
          <w:color w:val="134D9B"/>
          <w:spacing w:val="-2"/>
        </w:rPr>
        <w:t>акціонера).</w:t>
      </w:r>
    </w:p>
    <w:sectPr w:rsidR="00E1154A" w:rsidSect="00E1154A">
      <w:pgSz w:w="11910" w:h="16840"/>
      <w:pgMar w:top="1040" w:right="740" w:bottom="280" w:left="13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1154A"/>
    <w:rsid w:val="00280B47"/>
    <w:rsid w:val="006932FC"/>
    <w:rsid w:val="00AC2355"/>
    <w:rsid w:val="00BD40EE"/>
    <w:rsid w:val="00C568B6"/>
    <w:rsid w:val="00E115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1154A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154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1154A"/>
    <w:pPr>
      <w:ind w:left="116"/>
      <w:jc w:val="both"/>
    </w:pPr>
  </w:style>
  <w:style w:type="paragraph" w:styleId="a4">
    <w:name w:val="Title"/>
    <w:basedOn w:val="a"/>
    <w:uiPriority w:val="1"/>
    <w:qFormat/>
    <w:rsid w:val="00E1154A"/>
    <w:pPr>
      <w:spacing w:line="403" w:lineRule="exact"/>
      <w:ind w:left="905" w:right="901"/>
      <w:jc w:val="center"/>
    </w:pPr>
    <w:rPr>
      <w:rFonts w:ascii="Georgia" w:eastAsia="Georgia" w:hAnsi="Georgia" w:cs="Georgia"/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E1154A"/>
  </w:style>
  <w:style w:type="paragraph" w:customStyle="1" w:styleId="TableParagraph">
    <w:name w:val="Table Paragraph"/>
    <w:basedOn w:val="a"/>
    <w:uiPriority w:val="1"/>
    <w:qFormat/>
    <w:rsid w:val="00E1154A"/>
  </w:style>
  <w:style w:type="paragraph" w:styleId="a6">
    <w:name w:val="Balloon Text"/>
    <w:basedOn w:val="a"/>
    <w:link w:val="a7"/>
    <w:uiPriority w:val="99"/>
    <w:semiHidden/>
    <w:unhideWhenUsed/>
    <w:rsid w:val="006932F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932FC"/>
    <w:rPr>
      <w:rFonts w:ascii="Tahoma" w:eastAsia="Times New Roman" w:hAnsi="Tahoma" w:cs="Tahoma"/>
      <w:sz w:val="16"/>
      <w:szCs w:val="16"/>
      <w:lang w:val="uk-UA"/>
    </w:rPr>
  </w:style>
  <w:style w:type="paragraph" w:customStyle="1" w:styleId="11">
    <w:name w:val="Заголовок 11"/>
    <w:basedOn w:val="a"/>
    <w:uiPriority w:val="1"/>
    <w:qFormat/>
    <w:rsid w:val="00BD40EE"/>
    <w:pPr>
      <w:ind w:right="117"/>
      <w:jc w:val="center"/>
      <w:outlineLvl w:val="1"/>
    </w:pPr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830</Words>
  <Characters>4736</Characters>
  <Application>Microsoft Office Word</Application>
  <DocSecurity>0</DocSecurity>
  <Lines>39</Lines>
  <Paragraphs>11</Paragraphs>
  <ScaleCrop>false</ScaleCrop>
  <Company>Home</Company>
  <LinksUpToDate>false</LinksUpToDate>
  <CharactersWithSpaces>5555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Мондровський М.М.</dc:creator>
  <cp:lastModifiedBy>econ</cp:lastModifiedBy>
  <cp:revision>2</cp:revision>
  <dcterms:created xsi:type="dcterms:W3CDTF">2026-03-10T13:22:00Z</dcterms:created>
  <dcterms:modified xsi:type="dcterms:W3CDTF">2026-03-10T13:22:00Z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2024-03-08T00:00:00Z</vt:filetime>
  </property>
  <property fmtid="{D5CDD505-2E9C-101B-9397-08002B2CF9AE}" pid="5" name="Producer">
    <vt:lpwstr>Microsoft® Word 2016</vt:lpwstr>
  </property>
</Properties>
</file>