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2C630" w14:textId="77777777" w:rsidR="0095764E" w:rsidRPr="001D2794" w:rsidRDefault="0095764E" w:rsidP="0095764E">
      <w:pPr>
        <w:widowControl w:val="0"/>
        <w:shd w:val="clear" w:color="auto" w:fill="FFFFFF"/>
        <w:autoSpaceDE w:val="0"/>
        <w:ind w:left="-709"/>
        <w:jc w:val="center"/>
        <w:rPr>
          <w:rFonts w:ascii="PragmaticaCTT" w:hAnsi="PragmaticaCTT"/>
          <w:b/>
          <w:bCs/>
          <w:sz w:val="17"/>
          <w:szCs w:val="17"/>
          <w:lang w:val="uk-UA"/>
        </w:rPr>
      </w:pPr>
      <w:r w:rsidRPr="001D2794">
        <w:rPr>
          <w:rFonts w:ascii="PragmaticaCTT" w:hAnsi="PragmaticaCTT"/>
          <w:b/>
          <w:bCs/>
          <w:sz w:val="17"/>
          <w:szCs w:val="17"/>
          <w:lang w:val="uk-UA"/>
        </w:rPr>
        <w:t>ПРИВАТНЕ АКЦІОНЕРНЕ ТОВАРИСТВО «</w:t>
      </w:r>
      <w:r w:rsidRPr="001D2794">
        <w:rPr>
          <w:rFonts w:ascii="PragmaticaCTT" w:hAnsi="PragmaticaCTT"/>
          <w:b/>
          <w:sz w:val="17"/>
          <w:szCs w:val="17"/>
          <w:lang w:val="uk-UA"/>
        </w:rPr>
        <w:t>ПОЛТАВСЬКИЙ ОЛІЙНОЕКСТРАКЦІЙНИЙ ЗАВОД – КЕРНЕЛ ГРУП</w:t>
      </w:r>
      <w:r w:rsidRPr="001D2794">
        <w:rPr>
          <w:rFonts w:ascii="PragmaticaCTT" w:hAnsi="PragmaticaCTT"/>
          <w:b/>
          <w:bCs/>
          <w:sz w:val="17"/>
          <w:szCs w:val="17"/>
          <w:lang w:val="uk-UA"/>
        </w:rPr>
        <w:t>»</w:t>
      </w:r>
    </w:p>
    <w:p w14:paraId="044A07AB" w14:textId="77777777" w:rsidR="0095764E" w:rsidRPr="001D2794" w:rsidRDefault="0095764E" w:rsidP="0095764E">
      <w:pPr>
        <w:widowControl w:val="0"/>
        <w:shd w:val="clear" w:color="auto" w:fill="FFFFFF"/>
        <w:autoSpaceDE w:val="0"/>
        <w:jc w:val="center"/>
        <w:rPr>
          <w:rFonts w:ascii="PragmaticaCTT" w:hAnsi="PragmaticaCTT"/>
          <w:bCs/>
          <w:sz w:val="17"/>
          <w:szCs w:val="17"/>
          <w:lang w:val="uk-UA"/>
        </w:rPr>
      </w:pPr>
      <w:r w:rsidRPr="001D2794">
        <w:rPr>
          <w:rFonts w:ascii="PragmaticaCTT" w:hAnsi="PragmaticaCTT"/>
          <w:bCs/>
          <w:sz w:val="17"/>
          <w:szCs w:val="17"/>
          <w:lang w:val="uk-UA"/>
        </w:rPr>
        <w:t xml:space="preserve">(ідентифікаційний код юридичної особи </w:t>
      </w:r>
      <w:r w:rsidRPr="001D2794">
        <w:rPr>
          <w:rFonts w:ascii="PragmaticaCTT" w:hAnsi="PragmaticaCTT"/>
          <w:sz w:val="17"/>
          <w:szCs w:val="17"/>
          <w:lang w:val="uk-UA"/>
        </w:rPr>
        <w:t>00373907</w:t>
      </w:r>
      <w:r w:rsidRPr="001D2794">
        <w:rPr>
          <w:rFonts w:ascii="PragmaticaCTT" w:hAnsi="PragmaticaCTT"/>
          <w:bCs/>
          <w:sz w:val="17"/>
          <w:szCs w:val="17"/>
          <w:lang w:val="uk-UA"/>
        </w:rPr>
        <w:t>)</w:t>
      </w:r>
    </w:p>
    <w:p w14:paraId="2714D1B6" w14:textId="77777777" w:rsidR="0095764E" w:rsidRPr="001D2794" w:rsidRDefault="0095764E" w:rsidP="0095764E">
      <w:pPr>
        <w:widowControl w:val="0"/>
        <w:shd w:val="clear" w:color="auto" w:fill="FFFFFF"/>
        <w:autoSpaceDE w:val="0"/>
        <w:jc w:val="center"/>
        <w:rPr>
          <w:rFonts w:ascii="PragmaticaCTT" w:hAnsi="PragmaticaCTT"/>
          <w:bCs/>
          <w:sz w:val="17"/>
          <w:szCs w:val="17"/>
          <w:lang w:val="uk-UA"/>
        </w:rPr>
      </w:pPr>
      <w:r w:rsidRPr="001D2794">
        <w:rPr>
          <w:rFonts w:ascii="PragmaticaCTT" w:hAnsi="PragmaticaCTT"/>
          <w:bCs/>
          <w:sz w:val="17"/>
          <w:szCs w:val="17"/>
          <w:lang w:val="uk-UA"/>
        </w:rPr>
        <w:t>місцезнаходження: вул. Маршала Бірюзова, 17, м. Полтава, поштовий індекс 36007</w:t>
      </w:r>
    </w:p>
    <w:p w14:paraId="64BDFB7F" w14:textId="77777777" w:rsidR="0095764E" w:rsidRPr="001D2794" w:rsidRDefault="0095764E" w:rsidP="0095764E">
      <w:pPr>
        <w:widowControl w:val="0"/>
        <w:shd w:val="clear" w:color="auto" w:fill="FFFFFF"/>
        <w:autoSpaceDE w:val="0"/>
        <w:jc w:val="center"/>
        <w:rPr>
          <w:rFonts w:ascii="PragmaticaCTT" w:hAnsi="PragmaticaCTT"/>
          <w:bCs/>
          <w:sz w:val="17"/>
          <w:szCs w:val="17"/>
          <w:lang w:val="uk-UA"/>
        </w:rPr>
      </w:pPr>
      <w:r w:rsidRPr="001D2794">
        <w:rPr>
          <w:rFonts w:ascii="PragmaticaCTT" w:hAnsi="PragmaticaCTT"/>
          <w:bCs/>
          <w:sz w:val="17"/>
          <w:szCs w:val="17"/>
          <w:lang w:val="uk-UA"/>
        </w:rPr>
        <w:t>(далі за текстом – «Товариство»)</w:t>
      </w:r>
    </w:p>
    <w:p w14:paraId="676622CE" w14:textId="77777777" w:rsidR="0095764E" w:rsidRPr="001D2794" w:rsidRDefault="0095764E" w:rsidP="0095764E">
      <w:pPr>
        <w:widowControl w:val="0"/>
        <w:shd w:val="clear" w:color="auto" w:fill="FFFFFF"/>
        <w:autoSpaceDE w:val="0"/>
        <w:jc w:val="center"/>
        <w:rPr>
          <w:rFonts w:ascii="PragmaticaCTT" w:hAnsi="PragmaticaCTT"/>
          <w:bCs/>
          <w:sz w:val="17"/>
          <w:szCs w:val="17"/>
          <w:lang w:val="uk-UA"/>
        </w:rPr>
      </w:pPr>
      <w:r w:rsidRPr="001D2794">
        <w:rPr>
          <w:rFonts w:ascii="PragmaticaCTT" w:hAnsi="PragmaticaCTT"/>
          <w:bCs/>
          <w:sz w:val="17"/>
          <w:szCs w:val="17"/>
          <w:lang w:val="uk-UA"/>
        </w:rPr>
        <w:t xml:space="preserve">повідомляє про проведення позачергових Загальних зборів акціонерів Товариства </w:t>
      </w:r>
    </w:p>
    <w:p w14:paraId="545239B6" w14:textId="77777777" w:rsidR="0095764E" w:rsidRPr="001D2794" w:rsidRDefault="0095764E" w:rsidP="0095764E">
      <w:pPr>
        <w:widowControl w:val="0"/>
        <w:shd w:val="clear" w:color="auto" w:fill="FFFFFF"/>
        <w:autoSpaceDE w:val="0"/>
        <w:jc w:val="center"/>
        <w:rPr>
          <w:rFonts w:ascii="PragmaticaCTT" w:hAnsi="PragmaticaCTT"/>
          <w:bCs/>
          <w:sz w:val="17"/>
          <w:szCs w:val="17"/>
          <w:lang w:val="uk-UA"/>
        </w:rPr>
      </w:pPr>
      <w:r w:rsidRPr="001D2794">
        <w:rPr>
          <w:rFonts w:ascii="PragmaticaCTT" w:hAnsi="PragmaticaCTT"/>
          <w:bCs/>
          <w:sz w:val="17"/>
          <w:szCs w:val="17"/>
          <w:lang w:val="uk-UA"/>
        </w:rPr>
        <w:t xml:space="preserve">(далі за текстом – «Загальні збори») </w:t>
      </w:r>
    </w:p>
    <w:p w14:paraId="717CE523" w14:textId="77777777" w:rsidR="0095764E" w:rsidRPr="001D2794" w:rsidRDefault="0095764E" w:rsidP="0095764E">
      <w:pPr>
        <w:widowControl w:val="0"/>
        <w:shd w:val="clear" w:color="auto" w:fill="FFFFFF"/>
        <w:autoSpaceDE w:val="0"/>
        <w:jc w:val="center"/>
        <w:rPr>
          <w:rFonts w:ascii="PragmaticaCTT" w:hAnsi="PragmaticaCTT"/>
          <w:bCs/>
          <w:sz w:val="17"/>
          <w:szCs w:val="17"/>
          <w:lang w:val="uk-UA"/>
        </w:rPr>
      </w:pPr>
      <w:r w:rsidRPr="001D2794">
        <w:rPr>
          <w:rFonts w:ascii="PragmaticaCTT" w:hAnsi="PragmaticaCTT"/>
          <w:bCs/>
          <w:sz w:val="17"/>
          <w:szCs w:val="17"/>
          <w:lang w:val="uk-UA"/>
        </w:rPr>
        <w:t>29 серпня 2019 року</w:t>
      </w:r>
    </w:p>
    <w:p w14:paraId="5F6F70BD" w14:textId="77777777" w:rsidR="0095764E" w:rsidRPr="001D2794" w:rsidRDefault="0095764E" w:rsidP="0095764E">
      <w:pPr>
        <w:widowControl w:val="0"/>
        <w:shd w:val="clear" w:color="auto" w:fill="FFFFFF"/>
        <w:autoSpaceDE w:val="0"/>
        <w:jc w:val="center"/>
        <w:rPr>
          <w:rFonts w:ascii="PragmaticaCTT" w:hAnsi="PragmaticaCTT"/>
          <w:bCs/>
          <w:sz w:val="17"/>
          <w:szCs w:val="17"/>
          <w:lang w:val="uk-UA"/>
        </w:rPr>
      </w:pPr>
      <w:r w:rsidRPr="001D2794">
        <w:rPr>
          <w:rFonts w:ascii="PragmaticaCTT" w:hAnsi="PragmaticaCTT"/>
          <w:bCs/>
          <w:sz w:val="17"/>
          <w:szCs w:val="17"/>
          <w:lang w:val="uk-UA"/>
        </w:rPr>
        <w:t xml:space="preserve">за </w:t>
      </w:r>
      <w:proofErr w:type="spellStart"/>
      <w:r w:rsidRPr="001D2794">
        <w:rPr>
          <w:rFonts w:ascii="PragmaticaCTT" w:hAnsi="PragmaticaCTT"/>
          <w:bCs/>
          <w:sz w:val="17"/>
          <w:szCs w:val="17"/>
          <w:lang w:val="uk-UA"/>
        </w:rPr>
        <w:t>адресою</w:t>
      </w:r>
      <w:proofErr w:type="spellEnd"/>
      <w:r w:rsidRPr="001D2794">
        <w:rPr>
          <w:rFonts w:ascii="PragmaticaCTT" w:hAnsi="PragmaticaCTT"/>
          <w:bCs/>
          <w:sz w:val="17"/>
          <w:szCs w:val="17"/>
          <w:lang w:val="uk-UA"/>
        </w:rPr>
        <w:t xml:space="preserve">: вул. Маршала Бірюзова,17, м. Полтава </w:t>
      </w:r>
    </w:p>
    <w:p w14:paraId="5144FAC5" w14:textId="77777777" w:rsidR="0095764E" w:rsidRPr="001D2794" w:rsidRDefault="0095764E" w:rsidP="0095764E">
      <w:pPr>
        <w:widowControl w:val="0"/>
        <w:shd w:val="clear" w:color="auto" w:fill="FFFFFF"/>
        <w:autoSpaceDE w:val="0"/>
        <w:jc w:val="center"/>
        <w:rPr>
          <w:rFonts w:ascii="PragmaticaCTT" w:hAnsi="PragmaticaCTT"/>
          <w:bCs/>
          <w:sz w:val="17"/>
          <w:szCs w:val="17"/>
          <w:lang w:val="uk-UA"/>
        </w:rPr>
      </w:pPr>
      <w:r w:rsidRPr="001D2794">
        <w:rPr>
          <w:rFonts w:ascii="PragmaticaCTT" w:hAnsi="PragmaticaCTT"/>
          <w:bCs/>
          <w:sz w:val="17"/>
          <w:szCs w:val="17"/>
          <w:lang w:val="uk-UA"/>
        </w:rPr>
        <w:t>(адміністративна будівля, другий поверх, актова зала).</w:t>
      </w:r>
    </w:p>
    <w:p w14:paraId="5E5537EC" w14:textId="77777777" w:rsidR="0095764E" w:rsidRPr="001D2794" w:rsidRDefault="0095764E" w:rsidP="0095764E">
      <w:pPr>
        <w:widowControl w:val="0"/>
        <w:shd w:val="clear" w:color="auto" w:fill="FFFFFF"/>
        <w:autoSpaceDE w:val="0"/>
        <w:jc w:val="center"/>
        <w:rPr>
          <w:rFonts w:ascii="PragmaticaCTT" w:hAnsi="PragmaticaCTT"/>
          <w:b/>
          <w:bCs/>
          <w:color w:val="FF0000"/>
          <w:sz w:val="17"/>
          <w:szCs w:val="17"/>
          <w:lang w:val="uk-UA"/>
        </w:rPr>
      </w:pPr>
      <w:r w:rsidRPr="001D2794">
        <w:rPr>
          <w:rFonts w:ascii="PragmaticaCTT" w:hAnsi="PragmaticaCTT"/>
          <w:bCs/>
          <w:sz w:val="17"/>
          <w:szCs w:val="17"/>
          <w:lang w:val="uk-UA"/>
        </w:rPr>
        <w:t>Початок Загальних зборів о 10 год. 00 хв. Реєстрація акціонерів (їх представників) для участі у Загальних зборах відбудеться 29 серпня 2019 року з 09 год. 00 хв. по 09 год. 45 хв. за місцем проведення Загальних зборів.</w:t>
      </w:r>
    </w:p>
    <w:p w14:paraId="064F4935" w14:textId="77777777" w:rsidR="0095764E" w:rsidRPr="001D2794" w:rsidRDefault="0095764E" w:rsidP="0095764E">
      <w:pPr>
        <w:widowControl w:val="0"/>
        <w:autoSpaceDE w:val="0"/>
        <w:jc w:val="center"/>
        <w:rPr>
          <w:rFonts w:ascii="PragmaticaCTT" w:hAnsi="PragmaticaCTT"/>
          <w:bCs/>
          <w:sz w:val="17"/>
          <w:szCs w:val="17"/>
          <w:lang w:val="uk-UA"/>
        </w:rPr>
      </w:pPr>
    </w:p>
    <w:tbl>
      <w:tblPr>
        <w:tblW w:w="106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3867"/>
        <w:gridCol w:w="5934"/>
      </w:tblGrid>
      <w:tr w:rsidR="0095764E" w:rsidRPr="004E21B6" w14:paraId="59F3CF4B" w14:textId="77777777" w:rsidTr="007E0FC1">
        <w:trPr>
          <w:trHeight w:val="505"/>
        </w:trPr>
        <w:tc>
          <w:tcPr>
            <w:tcW w:w="812" w:type="dxa"/>
          </w:tcPr>
          <w:p w14:paraId="2AB81C05" w14:textId="77777777" w:rsidR="0095764E" w:rsidRPr="00FF621F" w:rsidRDefault="0095764E" w:rsidP="00B14557">
            <w:pPr>
              <w:autoSpaceDE w:val="0"/>
              <w:rPr>
                <w:rFonts w:ascii="PragmaticaCTT" w:hAnsi="PragmaticaCTT"/>
                <w:b/>
                <w:bCs/>
                <w:sz w:val="17"/>
                <w:szCs w:val="17"/>
                <w:lang w:val="uk-UA"/>
              </w:rPr>
            </w:pPr>
            <w:r w:rsidRPr="00FF621F">
              <w:rPr>
                <w:rFonts w:ascii="PragmaticaCTT" w:hAnsi="PragmaticaCTT"/>
                <w:b/>
                <w:bCs/>
                <w:sz w:val="17"/>
                <w:szCs w:val="17"/>
                <w:lang w:val="uk-UA"/>
              </w:rPr>
              <w:t>№</w:t>
            </w:r>
          </w:p>
        </w:tc>
        <w:tc>
          <w:tcPr>
            <w:tcW w:w="3867" w:type="dxa"/>
          </w:tcPr>
          <w:p w14:paraId="7417B445" w14:textId="77777777" w:rsidR="0095764E" w:rsidRPr="004E21B6" w:rsidRDefault="0095764E" w:rsidP="00B14557">
            <w:pPr>
              <w:autoSpaceDE w:val="0"/>
              <w:jc w:val="both"/>
              <w:rPr>
                <w:rFonts w:ascii="PragmaticaCTT" w:hAnsi="PragmaticaCTT"/>
                <w:b/>
                <w:bCs/>
                <w:sz w:val="17"/>
                <w:szCs w:val="17"/>
                <w:lang w:val="uk-UA"/>
              </w:rPr>
            </w:pPr>
            <w:r w:rsidRPr="004E21B6">
              <w:rPr>
                <w:rFonts w:ascii="PragmaticaCTT" w:hAnsi="PragmaticaCTT"/>
                <w:b/>
                <w:bCs/>
                <w:sz w:val="17"/>
                <w:szCs w:val="17"/>
                <w:lang w:val="uk-UA"/>
              </w:rPr>
              <w:t>Порядок денний:</w:t>
            </w:r>
          </w:p>
        </w:tc>
        <w:tc>
          <w:tcPr>
            <w:tcW w:w="5934" w:type="dxa"/>
          </w:tcPr>
          <w:p w14:paraId="4C6BADB5" w14:textId="77777777" w:rsidR="0095764E" w:rsidRPr="004E21B6" w:rsidRDefault="0095764E" w:rsidP="00B14557">
            <w:pPr>
              <w:autoSpaceDE w:val="0"/>
              <w:jc w:val="both"/>
              <w:rPr>
                <w:rFonts w:ascii="PragmaticaCTT" w:hAnsi="PragmaticaCTT"/>
                <w:b/>
                <w:bCs/>
                <w:sz w:val="17"/>
                <w:szCs w:val="17"/>
                <w:lang w:val="uk-UA"/>
              </w:rPr>
            </w:pPr>
            <w:r w:rsidRPr="004E21B6">
              <w:rPr>
                <w:rFonts w:ascii="PragmaticaCTT" w:hAnsi="PragmaticaCTT"/>
                <w:b/>
                <w:bCs/>
                <w:sz w:val="17"/>
                <w:szCs w:val="17"/>
                <w:lang w:val="uk-UA"/>
              </w:rPr>
              <w:t>Проекти рішень з питань, включених до порядку денного:</w:t>
            </w:r>
          </w:p>
        </w:tc>
      </w:tr>
      <w:tr w:rsidR="0095764E" w:rsidRPr="00213CBB" w14:paraId="657C406D" w14:textId="77777777" w:rsidTr="007E0FC1">
        <w:tc>
          <w:tcPr>
            <w:tcW w:w="812" w:type="dxa"/>
          </w:tcPr>
          <w:p w14:paraId="79646894" w14:textId="77777777" w:rsidR="0095764E" w:rsidRPr="00FF621F" w:rsidRDefault="0095764E" w:rsidP="00B14557">
            <w:pPr>
              <w:pStyle w:val="a3"/>
              <w:numPr>
                <w:ilvl w:val="0"/>
                <w:numId w:val="1"/>
              </w:numPr>
              <w:autoSpaceDE w:val="0"/>
              <w:ind w:left="0" w:firstLine="0"/>
              <w:jc w:val="left"/>
              <w:rPr>
                <w:rFonts w:ascii="PragmaticaCTT" w:hAnsi="PragmaticaCTT"/>
                <w:b/>
                <w:bCs/>
                <w:sz w:val="17"/>
                <w:szCs w:val="17"/>
                <w:lang w:val="uk-UA"/>
              </w:rPr>
            </w:pPr>
          </w:p>
        </w:tc>
        <w:tc>
          <w:tcPr>
            <w:tcW w:w="3867" w:type="dxa"/>
            <w:shd w:val="clear" w:color="auto" w:fill="auto"/>
          </w:tcPr>
          <w:p w14:paraId="1C0CEB08" w14:textId="77777777" w:rsidR="0095764E" w:rsidRPr="00C67136" w:rsidRDefault="0095764E" w:rsidP="00B14557">
            <w:pPr>
              <w:widowControl w:val="0"/>
              <w:shd w:val="clear" w:color="auto" w:fill="FFFFFF"/>
              <w:autoSpaceDE w:val="0"/>
              <w:autoSpaceDN w:val="0"/>
              <w:adjustRightInd w:val="0"/>
              <w:rPr>
                <w:rFonts w:ascii="PragmaticaCTT" w:hAnsi="PragmaticaCTT"/>
                <w:bCs/>
                <w:sz w:val="17"/>
                <w:szCs w:val="17"/>
                <w:lang w:val="uk-UA"/>
              </w:rPr>
            </w:pPr>
            <w:r w:rsidRPr="00C67136">
              <w:rPr>
                <w:rFonts w:ascii="PragmaticaCTT" w:hAnsi="PragmaticaCTT"/>
                <w:bCs/>
                <w:sz w:val="17"/>
                <w:szCs w:val="17"/>
                <w:lang w:val="uk-UA"/>
              </w:rPr>
              <w:t>Обрання членів лічильної комісії Загальних зборів.</w:t>
            </w:r>
          </w:p>
        </w:tc>
        <w:tc>
          <w:tcPr>
            <w:tcW w:w="5934" w:type="dxa"/>
            <w:shd w:val="clear" w:color="auto" w:fill="auto"/>
          </w:tcPr>
          <w:p w14:paraId="36A14FB9" w14:textId="084A63B7" w:rsidR="0095764E" w:rsidRPr="001A396D" w:rsidRDefault="001A396D" w:rsidP="001A396D">
            <w:pPr>
              <w:tabs>
                <w:tab w:val="left" w:pos="175"/>
                <w:tab w:val="left" w:pos="315"/>
              </w:tabs>
              <w:rPr>
                <w:rFonts w:ascii="PragmaticaCTT" w:hAnsi="PragmaticaCTT"/>
                <w:color w:val="000000"/>
                <w:sz w:val="17"/>
                <w:szCs w:val="17"/>
                <w:lang w:val="uk-UA"/>
              </w:rPr>
            </w:pPr>
            <w:r>
              <w:rPr>
                <w:rFonts w:ascii="PragmaticaCTT" w:hAnsi="PragmaticaCTT"/>
                <w:color w:val="000000"/>
                <w:sz w:val="17"/>
                <w:szCs w:val="17"/>
                <w:lang w:val="uk-UA"/>
              </w:rPr>
              <w:t>1.1.</w:t>
            </w:r>
            <w:r w:rsidR="0095764E" w:rsidRPr="001A396D">
              <w:rPr>
                <w:rFonts w:ascii="PragmaticaCTT" w:hAnsi="PragmaticaCTT"/>
                <w:color w:val="000000"/>
                <w:sz w:val="17"/>
                <w:szCs w:val="17"/>
                <w:lang w:val="uk-UA"/>
              </w:rPr>
              <w:t xml:space="preserve">Обрати лічильну комісію Загальних зборів у складі: голови лічильної комісії - Дяченко Любові Олександрівни, членів лічильної комісії– Широкої Наталії Михайлівни, </w:t>
            </w:r>
            <w:r w:rsidR="00351157" w:rsidRPr="001A396D">
              <w:rPr>
                <w:rFonts w:ascii="PragmaticaCTT" w:hAnsi="PragmaticaCTT"/>
                <w:color w:val="000000"/>
                <w:sz w:val="17"/>
                <w:szCs w:val="17"/>
                <w:lang w:val="uk-UA"/>
              </w:rPr>
              <w:t>Бублій Людмила Анатоліївна</w:t>
            </w:r>
            <w:r w:rsidR="0095764E" w:rsidRPr="001A396D">
              <w:rPr>
                <w:rFonts w:ascii="PragmaticaCTT" w:hAnsi="PragmaticaCTT"/>
                <w:color w:val="000000"/>
                <w:sz w:val="17"/>
                <w:szCs w:val="17"/>
                <w:lang w:val="uk-UA"/>
              </w:rPr>
              <w:t>.</w:t>
            </w:r>
          </w:p>
        </w:tc>
      </w:tr>
      <w:tr w:rsidR="00EB3526" w:rsidRPr="004E21B6" w14:paraId="715939E4" w14:textId="77777777" w:rsidTr="007E0FC1">
        <w:tc>
          <w:tcPr>
            <w:tcW w:w="812" w:type="dxa"/>
          </w:tcPr>
          <w:p w14:paraId="6AC075BA" w14:textId="77777777" w:rsidR="0095764E" w:rsidRPr="00C67136" w:rsidRDefault="0095764E" w:rsidP="00B14557">
            <w:pPr>
              <w:pStyle w:val="a3"/>
              <w:numPr>
                <w:ilvl w:val="0"/>
                <w:numId w:val="1"/>
              </w:numPr>
              <w:autoSpaceDE w:val="0"/>
              <w:ind w:left="0" w:firstLine="0"/>
              <w:jc w:val="left"/>
              <w:rPr>
                <w:rFonts w:ascii="PragmaticaCTT" w:hAnsi="PragmaticaCTT"/>
                <w:b/>
                <w:bCs/>
                <w:sz w:val="17"/>
                <w:szCs w:val="17"/>
                <w:lang w:val="uk-UA"/>
              </w:rPr>
            </w:pPr>
          </w:p>
        </w:tc>
        <w:tc>
          <w:tcPr>
            <w:tcW w:w="3867" w:type="dxa"/>
            <w:shd w:val="clear" w:color="auto" w:fill="auto"/>
          </w:tcPr>
          <w:p w14:paraId="7471627E" w14:textId="77777777" w:rsidR="0095764E" w:rsidRPr="00C67136" w:rsidRDefault="0095764E" w:rsidP="00B14557">
            <w:pPr>
              <w:pStyle w:val="a3"/>
              <w:widowControl w:val="0"/>
              <w:shd w:val="clear" w:color="auto" w:fill="FFFFFF"/>
              <w:autoSpaceDE w:val="0"/>
              <w:autoSpaceDN w:val="0"/>
              <w:adjustRightInd w:val="0"/>
              <w:spacing w:line="240" w:lineRule="auto"/>
              <w:ind w:left="0" w:firstLine="0"/>
              <w:rPr>
                <w:rFonts w:ascii="PragmaticaCTT" w:hAnsi="PragmaticaCTT"/>
                <w:bCs/>
                <w:sz w:val="17"/>
                <w:szCs w:val="17"/>
                <w:lang w:val="uk-UA"/>
              </w:rPr>
            </w:pPr>
            <w:r w:rsidRPr="00C67136">
              <w:rPr>
                <w:rFonts w:ascii="PragmaticaCTT" w:hAnsi="PragmaticaCTT"/>
                <w:bCs/>
                <w:sz w:val="17"/>
                <w:szCs w:val="17"/>
                <w:lang w:val="uk-UA"/>
              </w:rPr>
              <w:t>Обрання секретаря Загальних зборів.</w:t>
            </w:r>
          </w:p>
        </w:tc>
        <w:tc>
          <w:tcPr>
            <w:tcW w:w="5934" w:type="dxa"/>
            <w:shd w:val="clear" w:color="auto" w:fill="auto"/>
          </w:tcPr>
          <w:p w14:paraId="3CDC7AA1" w14:textId="76821C2C" w:rsidR="0095764E" w:rsidRPr="004E7256" w:rsidRDefault="00761B21" w:rsidP="004E7256">
            <w:pPr>
              <w:tabs>
                <w:tab w:val="left" w:pos="175"/>
                <w:tab w:val="left" w:pos="315"/>
              </w:tabs>
              <w:rPr>
                <w:rFonts w:ascii="PragmaticaCTT" w:hAnsi="PragmaticaCTT"/>
                <w:sz w:val="17"/>
                <w:szCs w:val="17"/>
                <w:lang w:val="uk-UA"/>
              </w:rPr>
            </w:pPr>
            <w:r>
              <w:rPr>
                <w:rFonts w:ascii="PragmaticaCTT" w:hAnsi="PragmaticaCTT"/>
                <w:sz w:val="17"/>
                <w:szCs w:val="17"/>
                <w:lang w:val="uk-UA"/>
              </w:rPr>
              <w:t>2.</w:t>
            </w:r>
            <w:r w:rsidR="00213CBB">
              <w:rPr>
                <w:rFonts w:ascii="PragmaticaCTT" w:hAnsi="PragmaticaCTT"/>
                <w:sz w:val="17"/>
                <w:szCs w:val="17"/>
                <w:lang w:val="uk-UA"/>
              </w:rPr>
              <w:t>1.</w:t>
            </w:r>
            <w:r w:rsidR="0095764E" w:rsidRPr="004E7256">
              <w:rPr>
                <w:rFonts w:ascii="PragmaticaCTT" w:hAnsi="PragmaticaCTT"/>
                <w:sz w:val="17"/>
                <w:szCs w:val="17"/>
                <w:lang w:val="uk-UA"/>
              </w:rPr>
              <w:t>Обрати секретарем Загальних зборів Явтушенко Ірину Григорівну.</w:t>
            </w:r>
          </w:p>
        </w:tc>
      </w:tr>
      <w:tr w:rsidR="007E0FC1" w:rsidRPr="00213CBB" w14:paraId="3C51FC2D" w14:textId="77777777" w:rsidTr="007E0FC1">
        <w:trPr>
          <w:trHeight w:val="3263"/>
        </w:trPr>
        <w:tc>
          <w:tcPr>
            <w:tcW w:w="812" w:type="dxa"/>
            <w:vMerge w:val="restart"/>
          </w:tcPr>
          <w:p w14:paraId="1288F6D0" w14:textId="77777777" w:rsidR="007E0FC1" w:rsidRPr="00FF621F" w:rsidRDefault="007E0FC1" w:rsidP="00271C1D">
            <w:pPr>
              <w:autoSpaceDE w:val="0"/>
              <w:spacing w:before="10"/>
              <w:jc w:val="both"/>
              <w:rPr>
                <w:rFonts w:ascii="PragmaticaCTT" w:hAnsi="PragmaticaCTT"/>
                <w:b/>
                <w:bCs/>
                <w:sz w:val="17"/>
                <w:szCs w:val="17"/>
                <w:lang w:val="uk-UA"/>
              </w:rPr>
            </w:pPr>
            <w:r w:rsidRPr="00FF621F">
              <w:rPr>
                <w:rFonts w:ascii="PragmaticaCTT" w:hAnsi="PragmaticaCTT"/>
                <w:b/>
                <w:bCs/>
                <w:sz w:val="17"/>
                <w:szCs w:val="17"/>
                <w:lang w:val="uk-UA"/>
              </w:rPr>
              <w:t xml:space="preserve">3. </w:t>
            </w:r>
          </w:p>
        </w:tc>
        <w:tc>
          <w:tcPr>
            <w:tcW w:w="3867" w:type="dxa"/>
            <w:vMerge w:val="restart"/>
          </w:tcPr>
          <w:p w14:paraId="2B714069" w14:textId="77777777" w:rsidR="007E0FC1" w:rsidRPr="004E21B6" w:rsidRDefault="007E0FC1" w:rsidP="00271C1D">
            <w:pPr>
              <w:autoSpaceDE w:val="0"/>
              <w:jc w:val="both"/>
              <w:rPr>
                <w:rFonts w:ascii="PragmaticaCTT" w:hAnsi="PragmaticaCTT"/>
                <w:bCs/>
                <w:sz w:val="17"/>
                <w:szCs w:val="17"/>
                <w:lang w:val="uk-UA"/>
              </w:rPr>
            </w:pPr>
            <w:r w:rsidRPr="004E21B6">
              <w:rPr>
                <w:rFonts w:ascii="PragmaticaCTT" w:hAnsi="PragmaticaCTT"/>
                <w:sz w:val="17"/>
                <w:szCs w:val="17"/>
                <w:lang w:val="uk-UA"/>
              </w:rPr>
              <w:t>Надання згоди на вчинення Товариством значних правочинів у зв’язку із залученням фінансування.</w:t>
            </w:r>
          </w:p>
        </w:tc>
        <w:tc>
          <w:tcPr>
            <w:tcW w:w="5934" w:type="dxa"/>
          </w:tcPr>
          <w:p w14:paraId="32C0D47C" w14:textId="5B7964A5" w:rsidR="007E0FC1" w:rsidRPr="004E21B6" w:rsidRDefault="001A396D" w:rsidP="001A396D">
            <w:pPr>
              <w:pStyle w:val="a3"/>
              <w:widowControl w:val="0"/>
              <w:tabs>
                <w:tab w:val="left" w:pos="315"/>
              </w:tabs>
              <w:autoSpaceDE w:val="0"/>
              <w:spacing w:before="0" w:line="240" w:lineRule="auto"/>
              <w:ind w:left="0" w:firstLine="0"/>
              <w:rPr>
                <w:rFonts w:ascii="PragmaticaCTT" w:hAnsi="PragmaticaCTT"/>
                <w:bCs/>
                <w:iCs/>
                <w:sz w:val="17"/>
                <w:szCs w:val="17"/>
                <w:lang w:val="uk-UA"/>
              </w:rPr>
            </w:pPr>
            <w:r>
              <w:rPr>
                <w:rFonts w:ascii="PragmaticaCTT" w:hAnsi="PragmaticaCTT"/>
                <w:bCs/>
                <w:iCs/>
                <w:sz w:val="17"/>
                <w:szCs w:val="17"/>
                <w:lang w:val="uk-UA"/>
              </w:rPr>
              <w:t>3.1.</w:t>
            </w:r>
            <w:r w:rsidR="007E0FC1" w:rsidRPr="004E21B6">
              <w:rPr>
                <w:rFonts w:ascii="PragmaticaCTT" w:hAnsi="PragmaticaCTT"/>
                <w:bCs/>
                <w:iCs/>
                <w:sz w:val="17"/>
                <w:szCs w:val="17"/>
                <w:lang w:val="uk-UA"/>
              </w:rPr>
              <w:t>Попередньо надати згоду на вчинення Товариством значних правочинів, ринкова вартість майна, робіт або послуг чи сума коштів, що є їх предметом, становить 10 і більше відсотків вартості активів за даними річної фінансової звітності Товариства за 2018 рік, які вчинятимуться Товариством у ході його фінансово-господарської діяльності протягом не більш як 1 (одного) року з дати прийняття цього рішення Загальними зборами акціонерів, а саме: укладання Товариством кредитних договорів, договорів позики, договорів комісії, експортних договорів, договорів забезпечувального відступлення (</w:t>
            </w:r>
            <w:proofErr w:type="spellStart"/>
            <w:r w:rsidR="007E0FC1" w:rsidRPr="004E21B6">
              <w:rPr>
                <w:rFonts w:ascii="PragmaticaCTT" w:hAnsi="PragmaticaCTT"/>
                <w:bCs/>
                <w:iCs/>
                <w:sz w:val="17"/>
                <w:szCs w:val="17"/>
                <w:lang w:val="uk-UA"/>
              </w:rPr>
              <w:t>security</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assignment</w:t>
            </w:r>
            <w:proofErr w:type="spellEnd"/>
            <w:r w:rsidR="007E0FC1" w:rsidRPr="004E21B6">
              <w:rPr>
                <w:rFonts w:ascii="PragmaticaCTT" w:hAnsi="PragmaticaCTT"/>
                <w:bCs/>
                <w:iCs/>
                <w:sz w:val="17"/>
                <w:szCs w:val="17"/>
                <w:lang w:val="uk-UA"/>
              </w:rPr>
              <w:t>), договорів щодо надання будь-якої застави, іпотеки або іншого забезпечення (включаючи, але не обмежуючись, у якості майнового поручителя), договорів поруки (</w:t>
            </w:r>
            <w:proofErr w:type="spellStart"/>
            <w:r w:rsidR="007E0FC1" w:rsidRPr="004E21B6">
              <w:rPr>
                <w:rFonts w:ascii="PragmaticaCTT" w:hAnsi="PragmaticaCTT"/>
                <w:bCs/>
                <w:iCs/>
                <w:sz w:val="17"/>
                <w:szCs w:val="17"/>
                <w:lang w:val="uk-UA"/>
              </w:rPr>
              <w:t>surety</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agre</w:t>
            </w:r>
            <w:bookmarkStart w:id="0" w:name="_GoBack"/>
            <w:bookmarkEnd w:id="0"/>
            <w:r w:rsidR="007E0FC1" w:rsidRPr="004E21B6">
              <w:rPr>
                <w:rFonts w:ascii="PragmaticaCTT" w:hAnsi="PragmaticaCTT"/>
                <w:bCs/>
                <w:iCs/>
                <w:sz w:val="17"/>
                <w:szCs w:val="17"/>
                <w:lang w:val="uk-UA"/>
              </w:rPr>
              <w:t>ements</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suretyship</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agreements</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deeds</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of</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surety</w:t>
            </w:r>
            <w:proofErr w:type="spellEnd"/>
            <w:r w:rsidR="007E0FC1" w:rsidRPr="004E21B6">
              <w:rPr>
                <w:rFonts w:ascii="PragmaticaCTT" w:hAnsi="PragmaticaCTT"/>
                <w:bCs/>
                <w:iCs/>
                <w:sz w:val="17"/>
                <w:szCs w:val="17"/>
                <w:lang w:val="uk-UA"/>
              </w:rPr>
              <w:t>) (у тому числі додаткових договорів поруки (</w:t>
            </w:r>
            <w:proofErr w:type="spellStart"/>
            <w:r w:rsidR="007E0FC1" w:rsidRPr="004E21B6">
              <w:rPr>
                <w:rFonts w:ascii="PragmaticaCTT" w:hAnsi="PragmaticaCTT"/>
                <w:bCs/>
                <w:iCs/>
                <w:sz w:val="17"/>
                <w:szCs w:val="17"/>
                <w:lang w:val="uk-UA"/>
              </w:rPr>
              <w:t>supplemental</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surety</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agreements</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supplemental</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suretyship</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agreements</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supplemental</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deeds</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of</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surety</w:t>
            </w:r>
            <w:proofErr w:type="spellEnd"/>
            <w:r w:rsidR="007E0FC1" w:rsidRPr="004E21B6">
              <w:rPr>
                <w:rFonts w:ascii="PragmaticaCTT" w:hAnsi="PragmaticaCTT"/>
                <w:bCs/>
                <w:iCs/>
                <w:sz w:val="17"/>
                <w:szCs w:val="17"/>
                <w:lang w:val="uk-UA"/>
              </w:rPr>
              <w:t>), договорів про підтвердження поруки (</w:t>
            </w:r>
            <w:proofErr w:type="spellStart"/>
            <w:r w:rsidR="007E0FC1" w:rsidRPr="004E21B6">
              <w:rPr>
                <w:rFonts w:ascii="PragmaticaCTT" w:hAnsi="PragmaticaCTT"/>
                <w:bCs/>
                <w:iCs/>
                <w:sz w:val="17"/>
                <w:szCs w:val="17"/>
                <w:lang w:val="uk-UA"/>
              </w:rPr>
              <w:t>deeds</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of</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confirmation</w:t>
            </w:r>
            <w:proofErr w:type="spellEnd"/>
            <w:r w:rsidR="007E0FC1" w:rsidRPr="004E21B6">
              <w:rPr>
                <w:rFonts w:ascii="PragmaticaCTT" w:hAnsi="PragmaticaCTT"/>
                <w:bCs/>
                <w:iCs/>
                <w:sz w:val="17"/>
                <w:szCs w:val="17"/>
                <w:lang w:val="uk-UA"/>
              </w:rPr>
              <w:t>)), договорів щодо надання гарантії, договорів щодо надання гарантії відшкодування (</w:t>
            </w:r>
            <w:proofErr w:type="spellStart"/>
            <w:r w:rsidR="007E0FC1" w:rsidRPr="004E21B6">
              <w:rPr>
                <w:rFonts w:ascii="PragmaticaCTT" w:hAnsi="PragmaticaCTT"/>
                <w:bCs/>
                <w:iCs/>
                <w:sz w:val="17"/>
                <w:szCs w:val="17"/>
                <w:lang w:val="uk-UA"/>
              </w:rPr>
              <w:t>indemnity</w:t>
            </w:r>
            <w:proofErr w:type="spellEnd"/>
            <w:r w:rsidR="007E0FC1" w:rsidRPr="004E21B6">
              <w:rPr>
                <w:rFonts w:ascii="PragmaticaCTT" w:hAnsi="PragmaticaCTT"/>
                <w:bCs/>
                <w:iCs/>
                <w:sz w:val="17"/>
                <w:szCs w:val="17"/>
                <w:lang w:val="uk-UA"/>
              </w:rPr>
              <w:t>), договорів, які зобов’язують Товариство відшкодовувати будь-які збитки, витрати та/або будь-які інші суми будь-якого характеру та виду (як в якості окремого договору, так і в якості зобов’язання в будь-якому договорі), договорів щодо відступлення будь-яких прав вимоги, договорів щодо надання права договірного та/або примусового (безакцептного) списання коштів з банківських рахунків Товариства, договорів щодо припинення існуючого забезпечення (</w:t>
            </w:r>
            <w:proofErr w:type="spellStart"/>
            <w:r w:rsidR="007E0FC1" w:rsidRPr="004E21B6">
              <w:rPr>
                <w:rFonts w:ascii="PragmaticaCTT" w:hAnsi="PragmaticaCTT"/>
                <w:bCs/>
                <w:iCs/>
                <w:sz w:val="17"/>
                <w:szCs w:val="17"/>
                <w:lang w:val="uk-UA"/>
              </w:rPr>
              <w:t>agreements</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related</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to</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release</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of</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existing</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security</w:t>
            </w:r>
            <w:proofErr w:type="spellEnd"/>
            <w:r w:rsidR="007E0FC1" w:rsidRPr="004E21B6">
              <w:rPr>
                <w:rFonts w:ascii="PragmaticaCTT" w:hAnsi="PragmaticaCTT"/>
                <w:bCs/>
                <w:iCs/>
                <w:sz w:val="17"/>
                <w:szCs w:val="17"/>
                <w:lang w:val="uk-UA"/>
              </w:rPr>
              <w:t>), договорів між кредиторами (</w:t>
            </w:r>
            <w:proofErr w:type="spellStart"/>
            <w:r w:rsidR="007E0FC1" w:rsidRPr="004E21B6">
              <w:rPr>
                <w:rFonts w:ascii="PragmaticaCTT" w:hAnsi="PragmaticaCTT"/>
                <w:bCs/>
                <w:iCs/>
                <w:sz w:val="17"/>
                <w:szCs w:val="17"/>
                <w:lang w:val="uk-UA"/>
              </w:rPr>
              <w:t>intercreditor</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agreements</w:t>
            </w:r>
            <w:proofErr w:type="spellEnd"/>
            <w:r w:rsidR="007E0FC1" w:rsidRPr="004E21B6">
              <w:rPr>
                <w:rFonts w:ascii="PragmaticaCTT" w:hAnsi="PragmaticaCTT"/>
                <w:bCs/>
                <w:iCs/>
                <w:sz w:val="17"/>
                <w:szCs w:val="17"/>
                <w:lang w:val="uk-UA"/>
              </w:rPr>
              <w:t>), договорів щодо припинення договорів між кредиторами (</w:t>
            </w:r>
            <w:proofErr w:type="spellStart"/>
            <w:r w:rsidR="007E0FC1" w:rsidRPr="004E21B6">
              <w:rPr>
                <w:rFonts w:ascii="PragmaticaCTT" w:hAnsi="PragmaticaCTT"/>
                <w:bCs/>
                <w:iCs/>
                <w:sz w:val="17"/>
                <w:szCs w:val="17"/>
                <w:lang w:val="uk-UA"/>
              </w:rPr>
              <w:t>agreements</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related</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to</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termination</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of</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intercreditor</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agreements</w:t>
            </w:r>
            <w:proofErr w:type="spellEnd"/>
            <w:r w:rsidR="007E0FC1" w:rsidRPr="004E21B6">
              <w:rPr>
                <w:rFonts w:ascii="PragmaticaCTT" w:hAnsi="PragmaticaCTT"/>
                <w:bCs/>
                <w:iCs/>
                <w:sz w:val="17"/>
                <w:szCs w:val="17"/>
                <w:lang w:val="uk-UA"/>
              </w:rPr>
              <w:t>), договорів про довірче управління (</w:t>
            </w:r>
            <w:proofErr w:type="spellStart"/>
            <w:r w:rsidR="007E0FC1" w:rsidRPr="004E21B6">
              <w:rPr>
                <w:rFonts w:ascii="PragmaticaCTT" w:hAnsi="PragmaticaCTT"/>
                <w:bCs/>
                <w:iCs/>
                <w:sz w:val="17"/>
                <w:szCs w:val="17"/>
                <w:lang w:val="uk-UA"/>
              </w:rPr>
              <w:t>trust</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deeds</w:t>
            </w:r>
            <w:proofErr w:type="spellEnd"/>
            <w:r w:rsidR="007E0FC1" w:rsidRPr="004E21B6">
              <w:rPr>
                <w:rFonts w:ascii="PragmaticaCTT" w:hAnsi="PragmaticaCTT"/>
                <w:bCs/>
                <w:iCs/>
                <w:sz w:val="17"/>
                <w:szCs w:val="17"/>
                <w:lang w:val="uk-UA"/>
              </w:rPr>
              <w:t>) (у тому числі додаткових договорів про довірче управління (</w:t>
            </w:r>
            <w:proofErr w:type="spellStart"/>
            <w:r w:rsidR="007E0FC1" w:rsidRPr="004E21B6">
              <w:rPr>
                <w:rFonts w:ascii="PragmaticaCTT" w:hAnsi="PragmaticaCTT"/>
                <w:bCs/>
                <w:iCs/>
                <w:sz w:val="17"/>
                <w:szCs w:val="17"/>
                <w:lang w:val="uk-UA"/>
              </w:rPr>
              <w:t>supplemental</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trust</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deeds</w:t>
            </w:r>
            <w:proofErr w:type="spellEnd"/>
            <w:r w:rsidR="007E0FC1" w:rsidRPr="004E21B6">
              <w:rPr>
                <w:rFonts w:ascii="PragmaticaCTT" w:hAnsi="PragmaticaCTT"/>
                <w:bCs/>
                <w:iCs/>
                <w:sz w:val="17"/>
                <w:szCs w:val="17"/>
                <w:lang w:val="uk-UA"/>
              </w:rPr>
              <w:t>)), договорів про обслуговування випуску облігацій (</w:t>
            </w:r>
            <w:proofErr w:type="spellStart"/>
            <w:r w:rsidR="007E0FC1" w:rsidRPr="004E21B6">
              <w:rPr>
                <w:rFonts w:ascii="PragmaticaCTT" w:hAnsi="PragmaticaCTT"/>
                <w:bCs/>
                <w:iCs/>
                <w:sz w:val="17"/>
                <w:szCs w:val="17"/>
                <w:lang w:val="uk-UA"/>
              </w:rPr>
              <w:t>indentures</w:t>
            </w:r>
            <w:proofErr w:type="spellEnd"/>
            <w:r w:rsidR="007E0FC1" w:rsidRPr="004E21B6">
              <w:rPr>
                <w:rFonts w:ascii="PragmaticaCTT" w:hAnsi="PragmaticaCTT"/>
                <w:bCs/>
                <w:iCs/>
                <w:sz w:val="17"/>
                <w:szCs w:val="17"/>
                <w:lang w:val="uk-UA"/>
              </w:rPr>
              <w:t>) (у тому числі додаткових договорів про обслуговування випуску облігацій (</w:t>
            </w:r>
            <w:proofErr w:type="spellStart"/>
            <w:r w:rsidR="007E0FC1" w:rsidRPr="004E21B6">
              <w:rPr>
                <w:rFonts w:ascii="PragmaticaCTT" w:hAnsi="PragmaticaCTT"/>
                <w:bCs/>
                <w:iCs/>
                <w:sz w:val="17"/>
                <w:szCs w:val="17"/>
                <w:lang w:val="uk-UA"/>
              </w:rPr>
              <w:t>supplemental</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indentures</w:t>
            </w:r>
            <w:proofErr w:type="spellEnd"/>
            <w:r w:rsidR="007E0FC1" w:rsidRPr="004E21B6">
              <w:rPr>
                <w:rFonts w:ascii="PragmaticaCTT" w:hAnsi="PragmaticaCTT"/>
                <w:bCs/>
                <w:iCs/>
                <w:sz w:val="17"/>
                <w:szCs w:val="17"/>
                <w:lang w:val="uk-UA"/>
              </w:rPr>
              <w:t>)), дилерських договорів (</w:t>
            </w:r>
            <w:proofErr w:type="spellStart"/>
            <w:r w:rsidR="007E0FC1" w:rsidRPr="004E21B6">
              <w:rPr>
                <w:rFonts w:ascii="PragmaticaCTT" w:hAnsi="PragmaticaCTT"/>
                <w:bCs/>
                <w:iCs/>
                <w:sz w:val="17"/>
                <w:szCs w:val="17"/>
                <w:lang w:val="uk-UA"/>
              </w:rPr>
              <w:t>dealer</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agreements</w:t>
            </w:r>
            <w:proofErr w:type="spellEnd"/>
            <w:r w:rsidR="007E0FC1" w:rsidRPr="004E21B6">
              <w:rPr>
                <w:rFonts w:ascii="PragmaticaCTT" w:hAnsi="PragmaticaCTT"/>
                <w:bCs/>
                <w:iCs/>
                <w:sz w:val="17"/>
                <w:szCs w:val="17"/>
                <w:lang w:val="uk-UA"/>
              </w:rPr>
              <w:t>), договорів з дилер-менеджером(-</w:t>
            </w:r>
            <w:proofErr w:type="spellStart"/>
            <w:r w:rsidR="007E0FC1" w:rsidRPr="004E21B6">
              <w:rPr>
                <w:rFonts w:ascii="PragmaticaCTT" w:hAnsi="PragmaticaCTT"/>
                <w:bCs/>
                <w:iCs/>
                <w:sz w:val="17"/>
                <w:szCs w:val="17"/>
                <w:lang w:val="uk-UA"/>
              </w:rPr>
              <w:t>ами</w:t>
            </w:r>
            <w:proofErr w:type="spellEnd"/>
            <w:r w:rsidR="007E0FC1" w:rsidRPr="004E21B6">
              <w:rPr>
                <w:rFonts w:ascii="PragmaticaCTT" w:hAnsi="PragmaticaCTT"/>
                <w:bCs/>
                <w:iCs/>
                <w:sz w:val="17"/>
                <w:szCs w:val="17"/>
                <w:lang w:val="uk-UA"/>
              </w:rPr>
              <w:t>) (</w:t>
            </w:r>
            <w:proofErr w:type="spellStart"/>
            <w:r w:rsidR="007E0FC1" w:rsidRPr="004E21B6">
              <w:rPr>
                <w:rFonts w:ascii="PragmaticaCTT" w:hAnsi="PragmaticaCTT"/>
                <w:bCs/>
                <w:iCs/>
                <w:sz w:val="17"/>
                <w:szCs w:val="17"/>
                <w:lang w:val="uk-UA"/>
              </w:rPr>
              <w:t>dealer</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manager</w:t>
            </w:r>
            <w:proofErr w:type="spellEnd"/>
            <w:r w:rsidR="007E0FC1" w:rsidRPr="004E21B6">
              <w:rPr>
                <w:rFonts w:ascii="PragmaticaCTT" w:hAnsi="PragmaticaCTT"/>
                <w:bCs/>
                <w:iCs/>
                <w:sz w:val="17"/>
                <w:szCs w:val="17"/>
                <w:lang w:val="uk-UA"/>
              </w:rPr>
              <w:t xml:space="preserve">(-s) </w:t>
            </w:r>
            <w:proofErr w:type="spellStart"/>
            <w:r w:rsidR="007E0FC1" w:rsidRPr="004E21B6">
              <w:rPr>
                <w:rFonts w:ascii="PragmaticaCTT" w:hAnsi="PragmaticaCTT"/>
                <w:bCs/>
                <w:iCs/>
                <w:sz w:val="17"/>
                <w:szCs w:val="17"/>
                <w:lang w:val="uk-UA"/>
              </w:rPr>
              <w:t>agreements</w:t>
            </w:r>
            <w:proofErr w:type="spellEnd"/>
            <w:r w:rsidR="007E0FC1" w:rsidRPr="004E21B6">
              <w:rPr>
                <w:rFonts w:ascii="PragmaticaCTT" w:hAnsi="PragmaticaCTT"/>
                <w:bCs/>
                <w:iCs/>
                <w:sz w:val="17"/>
                <w:szCs w:val="17"/>
                <w:lang w:val="uk-UA"/>
              </w:rPr>
              <w:t>) (у тому числі додаткових договорів з дилер-менеджером(-</w:t>
            </w:r>
            <w:proofErr w:type="spellStart"/>
            <w:r w:rsidR="007E0FC1" w:rsidRPr="004E21B6">
              <w:rPr>
                <w:rFonts w:ascii="PragmaticaCTT" w:hAnsi="PragmaticaCTT"/>
                <w:bCs/>
                <w:iCs/>
                <w:sz w:val="17"/>
                <w:szCs w:val="17"/>
                <w:lang w:val="uk-UA"/>
              </w:rPr>
              <w:t>ами</w:t>
            </w:r>
            <w:proofErr w:type="spellEnd"/>
            <w:r w:rsidR="007E0FC1" w:rsidRPr="004E21B6">
              <w:rPr>
                <w:rFonts w:ascii="PragmaticaCTT" w:hAnsi="PragmaticaCTT"/>
                <w:bCs/>
                <w:iCs/>
                <w:sz w:val="17"/>
                <w:szCs w:val="17"/>
                <w:lang w:val="uk-UA"/>
              </w:rPr>
              <w:t>) (</w:t>
            </w:r>
            <w:proofErr w:type="spellStart"/>
            <w:r w:rsidR="007E0FC1" w:rsidRPr="004E21B6">
              <w:rPr>
                <w:rFonts w:ascii="PragmaticaCTT" w:hAnsi="PragmaticaCTT"/>
                <w:bCs/>
                <w:iCs/>
                <w:sz w:val="17"/>
                <w:szCs w:val="17"/>
                <w:lang w:val="uk-UA"/>
              </w:rPr>
              <w:t>supplemental</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dealer</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manager</w:t>
            </w:r>
            <w:proofErr w:type="spellEnd"/>
            <w:r w:rsidR="007E0FC1" w:rsidRPr="004E21B6">
              <w:rPr>
                <w:rFonts w:ascii="PragmaticaCTT" w:hAnsi="PragmaticaCTT"/>
                <w:bCs/>
                <w:iCs/>
                <w:sz w:val="17"/>
                <w:szCs w:val="17"/>
                <w:lang w:val="uk-UA"/>
              </w:rPr>
              <w:t xml:space="preserve">(-s) </w:t>
            </w:r>
            <w:proofErr w:type="spellStart"/>
            <w:r w:rsidR="007E0FC1" w:rsidRPr="004E21B6">
              <w:rPr>
                <w:rFonts w:ascii="PragmaticaCTT" w:hAnsi="PragmaticaCTT"/>
                <w:bCs/>
                <w:iCs/>
                <w:sz w:val="17"/>
                <w:szCs w:val="17"/>
                <w:lang w:val="uk-UA"/>
              </w:rPr>
              <w:t>agreements</w:t>
            </w:r>
            <w:proofErr w:type="spellEnd"/>
            <w:r w:rsidR="007E0FC1" w:rsidRPr="004E21B6">
              <w:rPr>
                <w:rFonts w:ascii="PragmaticaCTT" w:hAnsi="PragmaticaCTT"/>
                <w:bCs/>
                <w:iCs/>
                <w:sz w:val="17"/>
                <w:szCs w:val="17"/>
                <w:lang w:val="uk-UA"/>
              </w:rPr>
              <w:t>)), договорів про підписку (</w:t>
            </w:r>
            <w:proofErr w:type="spellStart"/>
            <w:r w:rsidR="007E0FC1" w:rsidRPr="004E21B6">
              <w:rPr>
                <w:rFonts w:ascii="PragmaticaCTT" w:hAnsi="PragmaticaCTT"/>
                <w:bCs/>
                <w:iCs/>
                <w:sz w:val="17"/>
                <w:szCs w:val="17"/>
                <w:lang w:val="uk-UA"/>
              </w:rPr>
              <w:t>subscription</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agreements</w:t>
            </w:r>
            <w:proofErr w:type="spellEnd"/>
            <w:r w:rsidR="007E0FC1" w:rsidRPr="004E21B6">
              <w:rPr>
                <w:rFonts w:ascii="PragmaticaCTT" w:hAnsi="PragmaticaCTT"/>
                <w:bCs/>
                <w:iCs/>
                <w:sz w:val="17"/>
                <w:szCs w:val="17"/>
                <w:lang w:val="uk-UA"/>
              </w:rPr>
              <w:t xml:space="preserve">), </w:t>
            </w:r>
            <w:r w:rsidR="007E0FC1" w:rsidRPr="004E21B6">
              <w:rPr>
                <w:rFonts w:ascii="PragmaticaCTT" w:hAnsi="PragmaticaCTT"/>
                <w:sz w:val="17"/>
                <w:szCs w:val="17"/>
                <w:lang w:val="uk-UA"/>
              </w:rPr>
              <w:t>договорів про надання запевнень та гарантій відшкодування (</w:t>
            </w:r>
            <w:proofErr w:type="spellStart"/>
            <w:r w:rsidR="007E0FC1" w:rsidRPr="004E21B6">
              <w:rPr>
                <w:rFonts w:ascii="PragmaticaCTT" w:hAnsi="PragmaticaCTT"/>
                <w:sz w:val="17"/>
                <w:szCs w:val="17"/>
                <w:lang w:val="uk-UA"/>
              </w:rPr>
              <w:t>representation</w:t>
            </w:r>
            <w:proofErr w:type="spellEnd"/>
            <w:r w:rsidR="007E0FC1" w:rsidRPr="004E21B6">
              <w:rPr>
                <w:rFonts w:ascii="PragmaticaCTT" w:hAnsi="PragmaticaCTT"/>
                <w:sz w:val="17"/>
                <w:szCs w:val="17"/>
                <w:lang w:val="uk-UA"/>
              </w:rPr>
              <w:t xml:space="preserve"> </w:t>
            </w:r>
            <w:proofErr w:type="spellStart"/>
            <w:r w:rsidR="007E0FC1" w:rsidRPr="004E21B6">
              <w:rPr>
                <w:rFonts w:ascii="PragmaticaCTT" w:hAnsi="PragmaticaCTT"/>
                <w:sz w:val="17"/>
                <w:szCs w:val="17"/>
                <w:lang w:val="uk-UA"/>
              </w:rPr>
              <w:t>warranty</w:t>
            </w:r>
            <w:proofErr w:type="spellEnd"/>
            <w:r w:rsidR="007E0FC1" w:rsidRPr="004E21B6">
              <w:rPr>
                <w:rFonts w:ascii="PragmaticaCTT" w:hAnsi="PragmaticaCTT"/>
                <w:sz w:val="17"/>
                <w:szCs w:val="17"/>
                <w:lang w:val="uk-UA"/>
              </w:rPr>
              <w:t xml:space="preserve"> </w:t>
            </w:r>
            <w:proofErr w:type="spellStart"/>
            <w:r w:rsidR="007E0FC1" w:rsidRPr="004E21B6">
              <w:rPr>
                <w:rFonts w:ascii="PragmaticaCTT" w:hAnsi="PragmaticaCTT"/>
                <w:sz w:val="17"/>
                <w:szCs w:val="17"/>
                <w:lang w:val="uk-UA"/>
              </w:rPr>
              <w:t>and</w:t>
            </w:r>
            <w:proofErr w:type="spellEnd"/>
            <w:r w:rsidR="007E0FC1" w:rsidRPr="004E21B6">
              <w:rPr>
                <w:rFonts w:ascii="PragmaticaCTT" w:hAnsi="PragmaticaCTT"/>
                <w:sz w:val="17"/>
                <w:szCs w:val="17"/>
                <w:lang w:val="uk-UA"/>
              </w:rPr>
              <w:t xml:space="preserve"> </w:t>
            </w:r>
            <w:proofErr w:type="spellStart"/>
            <w:r w:rsidR="007E0FC1" w:rsidRPr="004E21B6">
              <w:rPr>
                <w:rFonts w:ascii="PragmaticaCTT" w:hAnsi="PragmaticaCTT"/>
                <w:sz w:val="17"/>
                <w:szCs w:val="17"/>
                <w:lang w:val="uk-UA"/>
              </w:rPr>
              <w:t>indemnity</w:t>
            </w:r>
            <w:proofErr w:type="spellEnd"/>
            <w:r w:rsidR="007E0FC1" w:rsidRPr="004E21B6">
              <w:rPr>
                <w:rFonts w:ascii="PragmaticaCTT" w:hAnsi="PragmaticaCTT"/>
                <w:sz w:val="17"/>
                <w:szCs w:val="17"/>
                <w:lang w:val="uk-UA"/>
              </w:rPr>
              <w:t xml:space="preserve"> </w:t>
            </w:r>
            <w:proofErr w:type="spellStart"/>
            <w:r w:rsidR="007E0FC1" w:rsidRPr="004E21B6">
              <w:rPr>
                <w:rFonts w:ascii="PragmaticaCTT" w:hAnsi="PragmaticaCTT"/>
                <w:sz w:val="17"/>
                <w:szCs w:val="17"/>
                <w:lang w:val="uk-UA"/>
              </w:rPr>
              <w:t>agreement</w:t>
            </w:r>
            <w:proofErr w:type="spellEnd"/>
            <w:r w:rsidR="007E0FC1" w:rsidRPr="004E21B6">
              <w:rPr>
                <w:rFonts w:ascii="PragmaticaCTT" w:hAnsi="PragmaticaCTT"/>
                <w:bCs/>
                <w:iCs/>
                <w:sz w:val="17"/>
                <w:szCs w:val="17"/>
                <w:lang w:val="uk-UA"/>
              </w:rPr>
              <w:t>), агентських договорів (</w:t>
            </w:r>
            <w:proofErr w:type="spellStart"/>
            <w:r w:rsidR="007E0FC1" w:rsidRPr="004E21B6">
              <w:rPr>
                <w:rFonts w:ascii="PragmaticaCTT" w:hAnsi="PragmaticaCTT"/>
                <w:bCs/>
                <w:iCs/>
                <w:sz w:val="17"/>
                <w:szCs w:val="17"/>
                <w:lang w:val="uk-UA"/>
              </w:rPr>
              <w:t>agency</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agreements</w:t>
            </w:r>
            <w:proofErr w:type="spellEnd"/>
            <w:r w:rsidR="007E0FC1" w:rsidRPr="004E21B6">
              <w:rPr>
                <w:rFonts w:ascii="PragmaticaCTT" w:hAnsi="PragmaticaCTT"/>
                <w:bCs/>
                <w:iCs/>
                <w:sz w:val="17"/>
                <w:szCs w:val="17"/>
                <w:lang w:val="uk-UA"/>
              </w:rPr>
              <w:t>) (включаючи, але не обмежуючись, розрахунково-агентських договорів (</w:t>
            </w:r>
            <w:proofErr w:type="spellStart"/>
            <w:r w:rsidR="007E0FC1" w:rsidRPr="004E21B6">
              <w:rPr>
                <w:rFonts w:ascii="PragmaticaCTT" w:hAnsi="PragmaticaCTT"/>
                <w:bCs/>
                <w:iCs/>
                <w:sz w:val="17"/>
                <w:szCs w:val="17"/>
                <w:lang w:val="uk-UA"/>
              </w:rPr>
              <w:t>calculation</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agency</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agreements</w:t>
            </w:r>
            <w:proofErr w:type="spellEnd"/>
            <w:r w:rsidR="007E0FC1" w:rsidRPr="004E21B6">
              <w:rPr>
                <w:rFonts w:ascii="PragmaticaCTT" w:hAnsi="PragmaticaCTT"/>
                <w:bCs/>
                <w:iCs/>
                <w:sz w:val="17"/>
                <w:szCs w:val="17"/>
                <w:lang w:val="uk-UA"/>
              </w:rPr>
              <w:t>), агентських договорів щодо викупу (</w:t>
            </w:r>
            <w:proofErr w:type="spellStart"/>
            <w:r w:rsidR="007E0FC1" w:rsidRPr="004E21B6">
              <w:rPr>
                <w:rFonts w:ascii="PragmaticaCTT" w:hAnsi="PragmaticaCTT"/>
                <w:bCs/>
                <w:iCs/>
                <w:sz w:val="17"/>
                <w:szCs w:val="17"/>
                <w:lang w:val="uk-UA"/>
              </w:rPr>
              <w:t>tender</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agency</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agreements</w:t>
            </w:r>
            <w:proofErr w:type="spellEnd"/>
            <w:r w:rsidR="007E0FC1" w:rsidRPr="004E21B6">
              <w:rPr>
                <w:rFonts w:ascii="PragmaticaCTT" w:hAnsi="PragmaticaCTT"/>
                <w:bCs/>
                <w:iCs/>
                <w:sz w:val="17"/>
                <w:szCs w:val="17"/>
                <w:lang w:val="uk-UA"/>
              </w:rPr>
              <w:t>)), договорів про зобов’язання (</w:t>
            </w:r>
            <w:proofErr w:type="spellStart"/>
            <w:r w:rsidR="007E0FC1" w:rsidRPr="004E21B6">
              <w:rPr>
                <w:rFonts w:ascii="PragmaticaCTT" w:hAnsi="PragmaticaCTT"/>
                <w:bCs/>
                <w:iCs/>
                <w:sz w:val="17"/>
                <w:szCs w:val="17"/>
                <w:lang w:val="uk-UA"/>
              </w:rPr>
              <w:t>deed</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of</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undertaking</w:t>
            </w:r>
            <w:proofErr w:type="spellEnd"/>
            <w:r w:rsidR="007E0FC1" w:rsidRPr="004E21B6">
              <w:rPr>
                <w:rFonts w:ascii="PragmaticaCTT" w:hAnsi="PragmaticaCTT"/>
                <w:bCs/>
                <w:iCs/>
                <w:sz w:val="17"/>
                <w:szCs w:val="17"/>
                <w:lang w:val="uk-UA"/>
              </w:rPr>
              <w:t>), договорів/угод/листів про комісійні (</w:t>
            </w:r>
            <w:proofErr w:type="spellStart"/>
            <w:r w:rsidR="007E0FC1" w:rsidRPr="004E21B6">
              <w:rPr>
                <w:rFonts w:ascii="PragmaticaCTT" w:hAnsi="PragmaticaCTT"/>
                <w:bCs/>
                <w:iCs/>
                <w:sz w:val="17"/>
                <w:szCs w:val="17"/>
                <w:lang w:val="uk-UA"/>
              </w:rPr>
              <w:t>fee</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letters</w:t>
            </w:r>
            <w:proofErr w:type="spellEnd"/>
            <w:r w:rsidR="007E0FC1" w:rsidRPr="004E21B6">
              <w:rPr>
                <w:rFonts w:ascii="PragmaticaCTT" w:hAnsi="PragmaticaCTT"/>
                <w:bCs/>
                <w:iCs/>
                <w:sz w:val="17"/>
                <w:szCs w:val="17"/>
                <w:lang w:val="uk-UA"/>
              </w:rPr>
              <w:t>), договорів з дилер-менеджером(-</w:t>
            </w:r>
            <w:proofErr w:type="spellStart"/>
            <w:r w:rsidR="007E0FC1" w:rsidRPr="004E21B6">
              <w:rPr>
                <w:rFonts w:ascii="PragmaticaCTT" w:hAnsi="PragmaticaCTT"/>
                <w:bCs/>
                <w:iCs/>
                <w:sz w:val="17"/>
                <w:szCs w:val="17"/>
                <w:lang w:val="uk-UA"/>
              </w:rPr>
              <w:t>ами</w:t>
            </w:r>
            <w:proofErr w:type="spellEnd"/>
            <w:r w:rsidR="007E0FC1" w:rsidRPr="004E21B6">
              <w:rPr>
                <w:rFonts w:ascii="PragmaticaCTT" w:hAnsi="PragmaticaCTT"/>
                <w:bCs/>
                <w:iCs/>
                <w:sz w:val="17"/>
                <w:szCs w:val="17"/>
                <w:lang w:val="uk-UA"/>
              </w:rPr>
              <w:t>) та агентом(-</w:t>
            </w:r>
            <w:proofErr w:type="spellStart"/>
            <w:r w:rsidR="007E0FC1" w:rsidRPr="004E21B6">
              <w:rPr>
                <w:rFonts w:ascii="PragmaticaCTT" w:hAnsi="PragmaticaCTT"/>
                <w:bCs/>
                <w:iCs/>
                <w:sz w:val="17"/>
                <w:szCs w:val="17"/>
                <w:lang w:val="uk-UA"/>
              </w:rPr>
              <w:t>ами</w:t>
            </w:r>
            <w:proofErr w:type="spellEnd"/>
            <w:r w:rsidR="007E0FC1" w:rsidRPr="004E21B6">
              <w:rPr>
                <w:rFonts w:ascii="PragmaticaCTT" w:hAnsi="PragmaticaCTT"/>
                <w:bCs/>
                <w:iCs/>
                <w:sz w:val="17"/>
                <w:szCs w:val="17"/>
                <w:lang w:val="uk-UA"/>
              </w:rPr>
              <w:t>) з отримання згоди (</w:t>
            </w:r>
            <w:proofErr w:type="spellStart"/>
            <w:r w:rsidR="007E0FC1" w:rsidRPr="004E21B6">
              <w:rPr>
                <w:rFonts w:ascii="PragmaticaCTT" w:hAnsi="PragmaticaCTT"/>
                <w:bCs/>
                <w:iCs/>
                <w:sz w:val="17"/>
                <w:szCs w:val="17"/>
                <w:lang w:val="uk-UA"/>
              </w:rPr>
              <w:t>dealer</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manager</w:t>
            </w:r>
            <w:proofErr w:type="spellEnd"/>
            <w:r w:rsidR="007E0FC1" w:rsidRPr="004E21B6">
              <w:rPr>
                <w:rFonts w:ascii="PragmaticaCTT" w:hAnsi="PragmaticaCTT"/>
                <w:bCs/>
                <w:iCs/>
                <w:sz w:val="17"/>
                <w:szCs w:val="17"/>
                <w:lang w:val="uk-UA"/>
              </w:rPr>
              <w:t xml:space="preserve">(-s) </w:t>
            </w:r>
            <w:proofErr w:type="spellStart"/>
            <w:r w:rsidR="007E0FC1" w:rsidRPr="004E21B6">
              <w:rPr>
                <w:rFonts w:ascii="PragmaticaCTT" w:hAnsi="PragmaticaCTT"/>
                <w:bCs/>
                <w:iCs/>
                <w:sz w:val="17"/>
                <w:szCs w:val="17"/>
                <w:lang w:val="uk-UA"/>
              </w:rPr>
              <w:t>and</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solicitation</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agent</w:t>
            </w:r>
            <w:proofErr w:type="spellEnd"/>
            <w:r w:rsidR="007E0FC1" w:rsidRPr="004E21B6">
              <w:rPr>
                <w:rFonts w:ascii="PragmaticaCTT" w:hAnsi="PragmaticaCTT"/>
                <w:bCs/>
                <w:iCs/>
                <w:sz w:val="17"/>
                <w:szCs w:val="17"/>
                <w:lang w:val="uk-UA"/>
              </w:rPr>
              <w:t xml:space="preserve">(-s) </w:t>
            </w:r>
            <w:proofErr w:type="spellStart"/>
            <w:r w:rsidR="007E0FC1" w:rsidRPr="004E21B6">
              <w:rPr>
                <w:rFonts w:ascii="PragmaticaCTT" w:hAnsi="PragmaticaCTT"/>
                <w:bCs/>
                <w:iCs/>
                <w:sz w:val="17"/>
                <w:szCs w:val="17"/>
                <w:lang w:val="uk-UA"/>
              </w:rPr>
              <w:t>agreements</w:t>
            </w:r>
            <w:proofErr w:type="spellEnd"/>
            <w:r w:rsidR="007E0FC1" w:rsidRPr="004E21B6">
              <w:rPr>
                <w:rFonts w:ascii="PragmaticaCTT" w:hAnsi="PragmaticaCTT"/>
                <w:bCs/>
                <w:iCs/>
                <w:sz w:val="17"/>
                <w:szCs w:val="17"/>
                <w:lang w:val="uk-UA"/>
              </w:rPr>
              <w:t xml:space="preserve">), договорів щодо </w:t>
            </w:r>
            <w:proofErr w:type="spellStart"/>
            <w:r w:rsidR="007E0FC1" w:rsidRPr="004E21B6">
              <w:rPr>
                <w:rFonts w:ascii="PragmaticaCTT" w:hAnsi="PragmaticaCTT"/>
                <w:bCs/>
                <w:iCs/>
                <w:sz w:val="17"/>
                <w:szCs w:val="17"/>
                <w:lang w:val="uk-UA"/>
              </w:rPr>
              <w:t>андеррайтингових</w:t>
            </w:r>
            <w:proofErr w:type="spellEnd"/>
            <w:r w:rsidR="007E0FC1" w:rsidRPr="004E21B6">
              <w:rPr>
                <w:rFonts w:ascii="PragmaticaCTT" w:hAnsi="PragmaticaCTT"/>
                <w:bCs/>
                <w:iCs/>
                <w:sz w:val="17"/>
                <w:szCs w:val="17"/>
                <w:lang w:val="uk-UA"/>
              </w:rPr>
              <w:t>, агентських послуг, послуг лід-менеджерів, послуг з довірчого управління, послуг із забезпечення здійснення лістингу на фондових біржах, фінансових, рейтингових, інформаційних, консультаційних, юридичних, платіжних та інших послуг, необхідних для здійснення випусків боргових цінних паперів, акцій, похідних цінних паперів, фінансових деривативів та/або інших фінансових інструментів, а також усіх інших договорів, які можуть укладатися в рамках таких випусків та в процесі управління залученими коштами (</w:t>
            </w:r>
            <w:proofErr w:type="spellStart"/>
            <w:r w:rsidR="007E0FC1" w:rsidRPr="004E21B6">
              <w:rPr>
                <w:rFonts w:ascii="PragmaticaCTT" w:hAnsi="PragmaticaCTT"/>
                <w:bCs/>
                <w:iCs/>
                <w:sz w:val="17"/>
                <w:szCs w:val="17"/>
                <w:lang w:val="uk-UA"/>
              </w:rPr>
              <w:t>liability</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management</w:t>
            </w:r>
            <w:proofErr w:type="spellEnd"/>
            <w:r w:rsidR="007E0FC1" w:rsidRPr="004E21B6">
              <w:rPr>
                <w:rFonts w:ascii="PragmaticaCTT" w:hAnsi="PragmaticaCTT"/>
                <w:bCs/>
                <w:iCs/>
                <w:sz w:val="17"/>
                <w:szCs w:val="17"/>
                <w:lang w:val="uk-UA"/>
              </w:rPr>
              <w:t>), включаючи, але не обмежуючись, в рамках отримання згоди на внесення змін (</w:t>
            </w:r>
            <w:proofErr w:type="spellStart"/>
            <w:r w:rsidR="007E0FC1" w:rsidRPr="004E21B6">
              <w:rPr>
                <w:rFonts w:ascii="PragmaticaCTT" w:hAnsi="PragmaticaCTT"/>
                <w:bCs/>
                <w:iCs/>
                <w:sz w:val="17"/>
                <w:szCs w:val="17"/>
                <w:lang w:val="uk-UA"/>
              </w:rPr>
              <w:t>consent</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solicitation</w:t>
            </w:r>
            <w:proofErr w:type="spellEnd"/>
            <w:r w:rsidR="007E0FC1" w:rsidRPr="004E21B6">
              <w:rPr>
                <w:rFonts w:ascii="PragmaticaCTT" w:hAnsi="PragmaticaCTT"/>
                <w:bCs/>
                <w:iCs/>
                <w:sz w:val="17"/>
                <w:szCs w:val="17"/>
                <w:lang w:val="uk-UA"/>
              </w:rPr>
              <w:t>), пропозиції щодо викупу (</w:t>
            </w:r>
            <w:proofErr w:type="spellStart"/>
            <w:r w:rsidR="007E0FC1" w:rsidRPr="004E21B6">
              <w:rPr>
                <w:rFonts w:ascii="PragmaticaCTT" w:hAnsi="PragmaticaCTT"/>
                <w:bCs/>
                <w:iCs/>
                <w:sz w:val="17"/>
                <w:szCs w:val="17"/>
                <w:lang w:val="uk-UA"/>
              </w:rPr>
              <w:t>tender</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offer</w:t>
            </w:r>
            <w:proofErr w:type="spellEnd"/>
            <w:r w:rsidR="007E0FC1" w:rsidRPr="004E21B6">
              <w:rPr>
                <w:rFonts w:ascii="PragmaticaCTT" w:hAnsi="PragmaticaCTT"/>
                <w:bCs/>
                <w:iCs/>
                <w:sz w:val="17"/>
                <w:szCs w:val="17"/>
                <w:lang w:val="uk-UA"/>
              </w:rPr>
              <w:t>) та/або пропозиції щодо обміну (</w:t>
            </w:r>
            <w:proofErr w:type="spellStart"/>
            <w:r w:rsidR="007E0FC1" w:rsidRPr="004E21B6">
              <w:rPr>
                <w:rFonts w:ascii="PragmaticaCTT" w:hAnsi="PragmaticaCTT"/>
                <w:bCs/>
                <w:iCs/>
                <w:sz w:val="17"/>
                <w:szCs w:val="17"/>
                <w:lang w:val="uk-UA"/>
              </w:rPr>
              <w:t>exchange</w:t>
            </w:r>
            <w:proofErr w:type="spellEnd"/>
            <w:r w:rsidR="007E0FC1" w:rsidRPr="004E21B6">
              <w:rPr>
                <w:rFonts w:ascii="PragmaticaCTT" w:hAnsi="PragmaticaCTT"/>
                <w:bCs/>
                <w:iCs/>
                <w:sz w:val="17"/>
                <w:szCs w:val="17"/>
                <w:lang w:val="uk-UA"/>
              </w:rPr>
              <w:t xml:space="preserve"> </w:t>
            </w:r>
            <w:proofErr w:type="spellStart"/>
            <w:r w:rsidR="007E0FC1" w:rsidRPr="004E21B6">
              <w:rPr>
                <w:rFonts w:ascii="PragmaticaCTT" w:hAnsi="PragmaticaCTT"/>
                <w:bCs/>
                <w:iCs/>
                <w:sz w:val="17"/>
                <w:szCs w:val="17"/>
                <w:lang w:val="uk-UA"/>
              </w:rPr>
              <w:t>offer</w:t>
            </w:r>
            <w:proofErr w:type="spellEnd"/>
            <w:r w:rsidR="007E0FC1" w:rsidRPr="004E21B6">
              <w:rPr>
                <w:rFonts w:ascii="PragmaticaCTT" w:hAnsi="PragmaticaCTT"/>
                <w:bCs/>
                <w:iCs/>
                <w:sz w:val="17"/>
                <w:szCs w:val="17"/>
                <w:lang w:val="uk-UA"/>
              </w:rPr>
              <w:t>) (надалі всі зазначені у цьому пункті 3.1 договори, угоди, листи та документи іменуються «</w:t>
            </w:r>
            <w:r w:rsidR="007E0FC1" w:rsidRPr="004E21B6">
              <w:rPr>
                <w:rFonts w:ascii="PragmaticaCTT" w:hAnsi="PragmaticaCTT"/>
                <w:b/>
                <w:bCs/>
                <w:iCs/>
                <w:sz w:val="17"/>
                <w:szCs w:val="17"/>
                <w:lang w:val="uk-UA"/>
              </w:rPr>
              <w:t>Договори щодо фінансування</w:t>
            </w:r>
            <w:r w:rsidR="007E0FC1" w:rsidRPr="004E21B6">
              <w:rPr>
                <w:rFonts w:ascii="PragmaticaCTT" w:hAnsi="PragmaticaCTT"/>
                <w:bCs/>
                <w:iCs/>
                <w:sz w:val="17"/>
                <w:szCs w:val="17"/>
                <w:lang w:val="uk-UA"/>
              </w:rPr>
              <w:t xml:space="preserve">») та будь-яких інших договорів і документів, вчинення, укладення та/або підписання яких може бути необхідним, доцільним чи бажаним, разом </w:t>
            </w:r>
            <w:r w:rsidR="007E0FC1" w:rsidRPr="004E21B6">
              <w:rPr>
                <w:rFonts w:ascii="PragmaticaCTT" w:hAnsi="PragmaticaCTT"/>
                <w:bCs/>
                <w:iCs/>
                <w:sz w:val="17"/>
                <w:szCs w:val="17"/>
                <w:lang w:val="uk-UA"/>
              </w:rPr>
              <w:lastRenderedPageBreak/>
              <w:t>з, згідно з або у зв'язку з Договорами щодо фінансування (як вже укладеними/підписаними на дату проведення цих Загальних зборів акціонерів, так і тими, що будуть укладені/підписані протягом 1 (одного) року з дати прийняття цього рішення Загальними зборами акціонерів), включаючи, але не обмежуючись, усі та будь-які додаткові угоди, додаткові договори та угоди/договори про внесення змін до Договорів щодо фінансування (включаючи, але не обмежуючись, угоди/договори про викладення Договорів щодо фінансування у новій редакції), що є укладеними/підписаними на дату проведення цих Загальних зборів акціонерів, або що будуть укладені/підписані протягом 1 (одного) року з дати прийняття цього рішення Загальними зборами акціонерів (надалі всі зазначені у цьому пункті 3.1 Договори щодо фінансування та інші договори та документи іменуються «</w:t>
            </w:r>
            <w:r w:rsidR="007E0FC1" w:rsidRPr="004E21B6">
              <w:rPr>
                <w:rFonts w:ascii="PragmaticaCTT" w:hAnsi="PragmaticaCTT"/>
                <w:b/>
                <w:bCs/>
                <w:iCs/>
                <w:sz w:val="17"/>
                <w:szCs w:val="17"/>
                <w:lang w:val="uk-UA"/>
              </w:rPr>
              <w:t>Договори та документи</w:t>
            </w:r>
            <w:r w:rsidR="007E0FC1" w:rsidRPr="004E21B6">
              <w:rPr>
                <w:rFonts w:ascii="PragmaticaCTT" w:hAnsi="PragmaticaCTT"/>
                <w:bCs/>
                <w:iCs/>
                <w:sz w:val="17"/>
                <w:szCs w:val="17"/>
                <w:lang w:val="uk-UA"/>
              </w:rPr>
              <w:t>»), які вчиняються у зв’язку з:</w:t>
            </w:r>
          </w:p>
          <w:p w14:paraId="2AA478CF" w14:textId="77777777" w:rsidR="007E0FC1" w:rsidRPr="004E21B6" w:rsidRDefault="007E0FC1" w:rsidP="00777888">
            <w:pPr>
              <w:pStyle w:val="a3"/>
              <w:widowControl w:val="0"/>
              <w:numPr>
                <w:ilvl w:val="0"/>
                <w:numId w:val="3"/>
              </w:numPr>
              <w:autoSpaceDE w:val="0"/>
              <w:spacing w:before="0" w:line="240" w:lineRule="auto"/>
              <w:ind w:left="0" w:firstLine="0"/>
              <w:rPr>
                <w:rFonts w:ascii="PragmaticaCTT" w:hAnsi="PragmaticaCTT"/>
                <w:bCs/>
                <w:iCs/>
                <w:sz w:val="17"/>
                <w:szCs w:val="17"/>
                <w:lang w:val="uk-UA"/>
              </w:rPr>
            </w:pPr>
            <w:r w:rsidRPr="004E21B6">
              <w:rPr>
                <w:rFonts w:ascii="PragmaticaCTT" w:hAnsi="PragmaticaCTT"/>
                <w:bCs/>
                <w:iCs/>
                <w:sz w:val="17"/>
                <w:szCs w:val="17"/>
                <w:lang w:val="uk-UA"/>
              </w:rPr>
              <w:t>наданням та/або отриманням кредитів, позик Кернел Холдинг С.А. (</w:t>
            </w:r>
            <w:proofErr w:type="spellStart"/>
            <w:r w:rsidRPr="004E21B6">
              <w:rPr>
                <w:rFonts w:ascii="PragmaticaCTT" w:hAnsi="PragmaticaCTT"/>
                <w:bCs/>
                <w:iCs/>
                <w:sz w:val="17"/>
                <w:szCs w:val="17"/>
                <w:lang w:val="uk-UA"/>
              </w:rPr>
              <w:t>Kernel</w:t>
            </w:r>
            <w:proofErr w:type="spellEnd"/>
            <w:r w:rsidRPr="004E21B6">
              <w:rPr>
                <w:rFonts w:ascii="PragmaticaCTT" w:hAnsi="PragmaticaCTT"/>
                <w:bCs/>
                <w:iCs/>
                <w:sz w:val="17"/>
                <w:szCs w:val="17"/>
                <w:lang w:val="uk-UA"/>
              </w:rPr>
              <w:t xml:space="preserve"> </w:t>
            </w:r>
            <w:proofErr w:type="spellStart"/>
            <w:r w:rsidRPr="004E21B6">
              <w:rPr>
                <w:rFonts w:ascii="PragmaticaCTT" w:hAnsi="PragmaticaCTT"/>
                <w:bCs/>
                <w:iCs/>
                <w:sz w:val="17"/>
                <w:szCs w:val="17"/>
                <w:lang w:val="uk-UA"/>
              </w:rPr>
              <w:t>Holding</w:t>
            </w:r>
            <w:proofErr w:type="spellEnd"/>
            <w:r w:rsidRPr="004E21B6">
              <w:rPr>
                <w:rFonts w:ascii="PragmaticaCTT" w:hAnsi="PragmaticaCTT"/>
                <w:bCs/>
                <w:iCs/>
                <w:sz w:val="17"/>
                <w:szCs w:val="17"/>
                <w:lang w:val="uk-UA"/>
              </w:rPr>
              <w:t xml:space="preserve"> S.A.), публічною компанією з обмеженою відповідальністю (</w:t>
            </w:r>
            <w:proofErr w:type="spellStart"/>
            <w:r w:rsidRPr="004E21B6">
              <w:rPr>
                <w:rFonts w:ascii="PragmaticaCTT" w:hAnsi="PragmaticaCTT"/>
                <w:bCs/>
                <w:i/>
                <w:iCs/>
                <w:sz w:val="17"/>
                <w:szCs w:val="17"/>
                <w:lang w:val="uk-UA"/>
              </w:rPr>
              <w:t>société</w:t>
            </w:r>
            <w:proofErr w:type="spellEnd"/>
            <w:r w:rsidRPr="004E21B6">
              <w:rPr>
                <w:rFonts w:ascii="PragmaticaCTT" w:hAnsi="PragmaticaCTT"/>
                <w:bCs/>
                <w:i/>
                <w:iCs/>
                <w:sz w:val="17"/>
                <w:szCs w:val="17"/>
                <w:lang w:val="uk-UA"/>
              </w:rPr>
              <w:t xml:space="preserve"> </w:t>
            </w:r>
            <w:proofErr w:type="spellStart"/>
            <w:r w:rsidRPr="004E21B6">
              <w:rPr>
                <w:rFonts w:ascii="PragmaticaCTT" w:hAnsi="PragmaticaCTT"/>
                <w:bCs/>
                <w:i/>
                <w:iCs/>
                <w:sz w:val="17"/>
                <w:szCs w:val="17"/>
                <w:lang w:val="uk-UA"/>
              </w:rPr>
              <w:t>anonyme</w:t>
            </w:r>
            <w:proofErr w:type="spellEnd"/>
            <w:r w:rsidRPr="004E21B6">
              <w:rPr>
                <w:rFonts w:ascii="PragmaticaCTT" w:hAnsi="PragmaticaCTT"/>
                <w:bCs/>
                <w:iCs/>
                <w:sz w:val="17"/>
                <w:szCs w:val="17"/>
                <w:lang w:val="uk-UA"/>
              </w:rPr>
              <w:t>), реєстраційний номер B109.173 (надалі – «</w:t>
            </w:r>
            <w:r w:rsidRPr="004E21B6">
              <w:rPr>
                <w:rFonts w:ascii="PragmaticaCTT" w:hAnsi="PragmaticaCTT"/>
                <w:b/>
                <w:bCs/>
                <w:iCs/>
                <w:sz w:val="17"/>
                <w:szCs w:val="17"/>
                <w:lang w:val="uk-UA"/>
              </w:rPr>
              <w:t>Кернел Холдинг С.А.</w:t>
            </w:r>
            <w:r w:rsidRPr="004E21B6">
              <w:rPr>
                <w:rFonts w:ascii="PragmaticaCTT" w:hAnsi="PragmaticaCTT"/>
                <w:bCs/>
                <w:iCs/>
                <w:sz w:val="17"/>
                <w:szCs w:val="17"/>
                <w:lang w:val="uk-UA"/>
              </w:rPr>
              <w:t>») та/або будь-якою із юридичних осіб, над якою Кернел Холдинг С.А. прямо чи опосередковано здійснює контроль, включаючи Товариство (надалі всі такі особи разом з Кернел Холдинг С.А. іменуються «</w:t>
            </w:r>
            <w:r w:rsidRPr="004E21B6">
              <w:rPr>
                <w:rFonts w:ascii="PragmaticaCTT" w:hAnsi="PragmaticaCTT"/>
                <w:b/>
                <w:bCs/>
                <w:iCs/>
                <w:sz w:val="17"/>
                <w:szCs w:val="17"/>
                <w:lang w:val="uk-UA"/>
              </w:rPr>
              <w:t>Компанії Групи Кернел</w:t>
            </w:r>
            <w:r w:rsidRPr="004E21B6">
              <w:rPr>
                <w:rFonts w:ascii="PragmaticaCTT" w:hAnsi="PragmaticaCTT"/>
                <w:bCs/>
                <w:iCs/>
                <w:sz w:val="17"/>
                <w:szCs w:val="17"/>
                <w:lang w:val="uk-UA"/>
              </w:rPr>
              <w:t xml:space="preserve">»), та/або </w:t>
            </w:r>
          </w:p>
          <w:p w14:paraId="02BB55ED" w14:textId="77777777" w:rsidR="007E0FC1" w:rsidRPr="004E21B6" w:rsidRDefault="007E0FC1" w:rsidP="00777888">
            <w:pPr>
              <w:pStyle w:val="a3"/>
              <w:widowControl w:val="0"/>
              <w:numPr>
                <w:ilvl w:val="0"/>
                <w:numId w:val="3"/>
              </w:numPr>
              <w:autoSpaceDE w:val="0"/>
              <w:spacing w:before="0" w:line="240" w:lineRule="auto"/>
              <w:ind w:left="0" w:firstLine="0"/>
              <w:rPr>
                <w:rFonts w:ascii="PragmaticaCTT" w:hAnsi="PragmaticaCTT"/>
                <w:bCs/>
                <w:iCs/>
                <w:sz w:val="17"/>
                <w:szCs w:val="17"/>
                <w:lang w:val="uk-UA"/>
              </w:rPr>
            </w:pPr>
            <w:r w:rsidRPr="004E21B6">
              <w:rPr>
                <w:rFonts w:ascii="PragmaticaCTT" w:hAnsi="PragmaticaCTT"/>
                <w:bCs/>
                <w:iCs/>
                <w:sz w:val="17"/>
                <w:szCs w:val="17"/>
                <w:lang w:val="uk-UA"/>
              </w:rPr>
              <w:t xml:space="preserve">залученням фінансування та/або рефінансуванням (включаючи, але не обмежуючись, шляхом укладення, випуску, додаткового випуску, викупу, обміну та/або зміни умов випуску боргових цінних паперів, акцій, похідних цінних паперів, фінансових деривативів та/або інших фінансових інструментів на внутрішніх та/або міжнародних ринках капіталу з відсотковою ставкою та кінцевою датою погашення, передбаченими умовами розміщення відповідних боргових цінних паперів, акцій, похідних цінних паперів, фінансових деривативів та/або інших фінансових інструментів) будь-якою з Компаній Групи Кернел, та/або </w:t>
            </w:r>
          </w:p>
          <w:p w14:paraId="67DC0577" w14:textId="77777777" w:rsidR="007E0FC1" w:rsidRPr="004E21B6" w:rsidRDefault="007E0FC1" w:rsidP="00777888">
            <w:pPr>
              <w:pStyle w:val="a3"/>
              <w:widowControl w:val="0"/>
              <w:numPr>
                <w:ilvl w:val="0"/>
                <w:numId w:val="3"/>
              </w:numPr>
              <w:autoSpaceDE w:val="0"/>
              <w:spacing w:before="0" w:line="240" w:lineRule="auto"/>
              <w:ind w:left="0" w:firstLine="0"/>
              <w:rPr>
                <w:rFonts w:ascii="PragmaticaCTT" w:hAnsi="PragmaticaCTT"/>
                <w:bCs/>
                <w:iCs/>
                <w:sz w:val="17"/>
                <w:szCs w:val="17"/>
                <w:lang w:val="uk-UA"/>
              </w:rPr>
            </w:pPr>
            <w:r w:rsidRPr="004E21B6">
              <w:rPr>
                <w:rFonts w:ascii="PragmaticaCTT" w:hAnsi="PragmaticaCTT"/>
                <w:bCs/>
                <w:iCs/>
                <w:sz w:val="17"/>
                <w:szCs w:val="17"/>
                <w:lang w:val="uk-UA"/>
              </w:rPr>
              <w:t xml:space="preserve">вчиненням будь-якою з Компаній Групи Кернел усіх та будь-яких інших правочинів у зв’язку з залученням фінансування, рефінансуванням, частковим або повним погашенням заборгованості, реструктуризацією існуючої заборгованості та/або </w:t>
            </w:r>
            <w:proofErr w:type="spellStart"/>
            <w:r w:rsidRPr="004E21B6">
              <w:rPr>
                <w:rFonts w:ascii="PragmaticaCTT" w:hAnsi="PragmaticaCTT"/>
                <w:bCs/>
                <w:iCs/>
                <w:sz w:val="17"/>
                <w:szCs w:val="17"/>
                <w:lang w:val="uk-UA"/>
              </w:rPr>
              <w:t>сек’юритизацією</w:t>
            </w:r>
            <w:proofErr w:type="spellEnd"/>
            <w:r w:rsidRPr="004E21B6">
              <w:rPr>
                <w:rFonts w:ascii="PragmaticaCTT" w:hAnsi="PragmaticaCTT"/>
                <w:bCs/>
                <w:iCs/>
                <w:sz w:val="17"/>
                <w:szCs w:val="17"/>
                <w:lang w:val="uk-UA"/>
              </w:rPr>
              <w:t xml:space="preserve"> активів будь-якою з Компаній Групи Кернел (надалі всі зазначені у підпунктах (i), (</w:t>
            </w:r>
            <w:proofErr w:type="spellStart"/>
            <w:r w:rsidRPr="004E21B6">
              <w:rPr>
                <w:rFonts w:ascii="PragmaticaCTT" w:hAnsi="PragmaticaCTT"/>
                <w:bCs/>
                <w:iCs/>
                <w:sz w:val="17"/>
                <w:szCs w:val="17"/>
                <w:lang w:val="uk-UA"/>
              </w:rPr>
              <w:t>іі</w:t>
            </w:r>
            <w:proofErr w:type="spellEnd"/>
            <w:r w:rsidRPr="004E21B6">
              <w:rPr>
                <w:rFonts w:ascii="PragmaticaCTT" w:hAnsi="PragmaticaCTT"/>
                <w:bCs/>
                <w:iCs/>
                <w:sz w:val="17"/>
                <w:szCs w:val="17"/>
                <w:lang w:val="uk-UA"/>
              </w:rPr>
              <w:t>) та (</w:t>
            </w:r>
            <w:proofErr w:type="spellStart"/>
            <w:r w:rsidRPr="004E21B6">
              <w:rPr>
                <w:rFonts w:ascii="PragmaticaCTT" w:hAnsi="PragmaticaCTT"/>
                <w:bCs/>
                <w:iCs/>
                <w:sz w:val="17"/>
                <w:szCs w:val="17"/>
                <w:lang w:val="uk-UA"/>
              </w:rPr>
              <w:t>iiі</w:t>
            </w:r>
            <w:proofErr w:type="spellEnd"/>
            <w:r w:rsidRPr="004E21B6">
              <w:rPr>
                <w:rFonts w:ascii="PragmaticaCTT" w:hAnsi="PragmaticaCTT"/>
                <w:bCs/>
                <w:iCs/>
                <w:sz w:val="17"/>
                <w:szCs w:val="17"/>
                <w:lang w:val="uk-UA"/>
              </w:rPr>
              <w:t>) пункту 3.1 цього рішення транзакції іменуються «</w:t>
            </w:r>
            <w:r w:rsidRPr="004E21B6">
              <w:rPr>
                <w:rFonts w:ascii="PragmaticaCTT" w:hAnsi="PragmaticaCTT"/>
                <w:b/>
                <w:bCs/>
                <w:iCs/>
                <w:sz w:val="17"/>
                <w:szCs w:val="17"/>
                <w:lang w:val="uk-UA"/>
              </w:rPr>
              <w:t>Транзакції щодо фінансування</w:t>
            </w:r>
            <w:r w:rsidRPr="004E21B6">
              <w:rPr>
                <w:rFonts w:ascii="PragmaticaCTT" w:hAnsi="PragmaticaCTT"/>
                <w:bCs/>
                <w:iCs/>
                <w:sz w:val="17"/>
                <w:szCs w:val="17"/>
                <w:lang w:val="uk-UA"/>
              </w:rPr>
              <w:t>»), та/або</w:t>
            </w:r>
          </w:p>
          <w:p w14:paraId="7ECA920D" w14:textId="77777777" w:rsidR="007E0FC1" w:rsidRPr="004E21B6" w:rsidRDefault="007E0FC1" w:rsidP="00777888">
            <w:pPr>
              <w:pStyle w:val="a3"/>
              <w:widowControl w:val="0"/>
              <w:numPr>
                <w:ilvl w:val="0"/>
                <w:numId w:val="3"/>
              </w:numPr>
              <w:autoSpaceDE w:val="0"/>
              <w:spacing w:before="0" w:line="240" w:lineRule="auto"/>
              <w:ind w:left="0" w:firstLine="0"/>
              <w:rPr>
                <w:rFonts w:ascii="PragmaticaCTT" w:hAnsi="PragmaticaCTT"/>
                <w:bCs/>
                <w:sz w:val="17"/>
                <w:szCs w:val="17"/>
                <w:lang w:val="uk-UA"/>
              </w:rPr>
            </w:pPr>
            <w:r w:rsidRPr="004E21B6">
              <w:rPr>
                <w:rFonts w:ascii="PragmaticaCTT" w:hAnsi="PragmaticaCTT"/>
                <w:bCs/>
                <w:iCs/>
                <w:sz w:val="17"/>
                <w:szCs w:val="17"/>
                <w:lang w:val="uk-UA"/>
              </w:rPr>
              <w:t>внесенням змін в будь-які умови існуючих Транзакцій щодо фінансування (включаючи, але не обмежуючись, щодо розміру основної суми, відсоткових ставок, кінцевих дат погашення основної суми, дат виплати відсотків та/або інших платежів, графіку погашення основної суми, виплати відсотків та інших платежів, та наданого Товариством чи іншими особами забезпечення).</w:t>
            </w:r>
          </w:p>
        </w:tc>
      </w:tr>
      <w:tr w:rsidR="007E0FC1" w:rsidRPr="004E21B6" w14:paraId="692B0DB2" w14:textId="77777777" w:rsidTr="007E0FC1">
        <w:trPr>
          <w:trHeight w:val="273"/>
        </w:trPr>
        <w:tc>
          <w:tcPr>
            <w:tcW w:w="812" w:type="dxa"/>
            <w:vMerge/>
          </w:tcPr>
          <w:p w14:paraId="30442324" w14:textId="77777777" w:rsidR="007E0FC1" w:rsidRPr="00FF621F" w:rsidRDefault="007E0FC1" w:rsidP="007E0FC1">
            <w:pPr>
              <w:pStyle w:val="a3"/>
              <w:numPr>
                <w:ilvl w:val="0"/>
                <w:numId w:val="4"/>
              </w:numPr>
              <w:autoSpaceDE w:val="0"/>
              <w:spacing w:line="240" w:lineRule="auto"/>
              <w:ind w:left="426"/>
              <w:contextualSpacing w:val="0"/>
              <w:rPr>
                <w:rFonts w:ascii="PragmaticaCTT" w:hAnsi="PragmaticaCTT"/>
                <w:b/>
                <w:bCs/>
                <w:sz w:val="17"/>
                <w:szCs w:val="17"/>
                <w:lang w:val="uk-UA"/>
              </w:rPr>
            </w:pPr>
          </w:p>
        </w:tc>
        <w:tc>
          <w:tcPr>
            <w:tcW w:w="3867" w:type="dxa"/>
            <w:vMerge/>
          </w:tcPr>
          <w:p w14:paraId="4104D8EC" w14:textId="77777777" w:rsidR="007E0FC1" w:rsidRPr="004E21B6" w:rsidRDefault="007E0FC1" w:rsidP="00271C1D">
            <w:pPr>
              <w:autoSpaceDE w:val="0"/>
              <w:jc w:val="both"/>
              <w:rPr>
                <w:rFonts w:ascii="PragmaticaCTT" w:hAnsi="PragmaticaCTT"/>
                <w:bCs/>
                <w:sz w:val="17"/>
                <w:szCs w:val="17"/>
                <w:lang w:val="uk-UA"/>
              </w:rPr>
            </w:pPr>
          </w:p>
        </w:tc>
        <w:tc>
          <w:tcPr>
            <w:tcW w:w="5934" w:type="dxa"/>
          </w:tcPr>
          <w:p w14:paraId="72029C17" w14:textId="414C770E" w:rsidR="007E0FC1" w:rsidRPr="004D5C48" w:rsidRDefault="00761B21" w:rsidP="00761B21">
            <w:pPr>
              <w:pStyle w:val="a3"/>
              <w:widowControl w:val="0"/>
              <w:autoSpaceDE w:val="0"/>
              <w:spacing w:before="0" w:line="240" w:lineRule="auto"/>
              <w:ind w:left="0" w:firstLine="0"/>
              <w:rPr>
                <w:rFonts w:ascii="PragmaticaCTT" w:hAnsi="PragmaticaCTT"/>
                <w:bCs/>
                <w:iCs/>
                <w:sz w:val="17"/>
                <w:szCs w:val="17"/>
                <w:lang w:val="uk-UA"/>
              </w:rPr>
            </w:pPr>
            <w:r>
              <w:rPr>
                <w:rFonts w:ascii="PragmaticaCTT" w:hAnsi="PragmaticaCTT"/>
                <w:bCs/>
                <w:iCs/>
                <w:sz w:val="17"/>
                <w:szCs w:val="17"/>
                <w:lang w:val="uk-UA"/>
              </w:rPr>
              <w:t>3.2.</w:t>
            </w:r>
            <w:r w:rsidR="007E0FC1" w:rsidRPr="004D5C48">
              <w:rPr>
                <w:rFonts w:ascii="PragmaticaCTT" w:hAnsi="PragmaticaCTT"/>
                <w:bCs/>
                <w:iCs/>
                <w:sz w:val="17"/>
                <w:szCs w:val="17"/>
                <w:lang w:val="uk-UA"/>
              </w:rPr>
              <w:t>Гранична вартість кожного правочину, вказаного в пункті 3.1 цього рішення Загальних зборів акціонерів, який вчиняється Товариством, не повинна перевищувати 1 000 000 000 (один мільярд) доларів США (або еквівалент цієї суми в іншій валюті за офіційним курсом, встановленим Національним банком України (надалі – «</w:t>
            </w:r>
            <w:r w:rsidR="007E0FC1" w:rsidRPr="004D5C48">
              <w:rPr>
                <w:rFonts w:ascii="PragmaticaCTT" w:hAnsi="PragmaticaCTT"/>
                <w:b/>
                <w:bCs/>
                <w:iCs/>
                <w:sz w:val="17"/>
                <w:szCs w:val="17"/>
                <w:lang w:val="uk-UA"/>
              </w:rPr>
              <w:t>НБУ</w:t>
            </w:r>
            <w:r w:rsidR="007E0FC1" w:rsidRPr="004D5C48">
              <w:rPr>
                <w:rFonts w:ascii="PragmaticaCTT" w:hAnsi="PragmaticaCTT"/>
                <w:bCs/>
                <w:iCs/>
                <w:sz w:val="17"/>
                <w:szCs w:val="17"/>
                <w:lang w:val="uk-UA"/>
              </w:rPr>
              <w:t>») на дату вчинення такого правочину) (надалі – «</w:t>
            </w:r>
            <w:r w:rsidR="007E0FC1" w:rsidRPr="004D5C48">
              <w:rPr>
                <w:rFonts w:ascii="PragmaticaCTT" w:hAnsi="PragmaticaCTT"/>
                <w:b/>
                <w:bCs/>
                <w:iCs/>
                <w:sz w:val="17"/>
                <w:szCs w:val="17"/>
                <w:lang w:val="uk-UA"/>
              </w:rPr>
              <w:t>Гранична вартість окремого правочину</w:t>
            </w:r>
            <w:r w:rsidR="007E0FC1" w:rsidRPr="004D5C48">
              <w:rPr>
                <w:rFonts w:ascii="PragmaticaCTT" w:hAnsi="PragmaticaCTT"/>
                <w:bCs/>
                <w:iCs/>
                <w:sz w:val="17"/>
                <w:szCs w:val="17"/>
                <w:lang w:val="uk-UA"/>
              </w:rPr>
              <w:t>»), а гранична сукупна вартість усіх правочинів, вказаних в пункті 3.1 цього рішення Загальних зборів акціонерів, які вчиняються Товариством, не повинна перевищувати  1 000 000 000 (один мільярд) доларів США (або еквівалент цієї суми в будь-якій іншій валюті за офіційним курсом, встановленим НБУ на дату вчинення кожного з таких правочинів) (надалі – «</w:t>
            </w:r>
            <w:r w:rsidR="007E0FC1" w:rsidRPr="004D5C48">
              <w:rPr>
                <w:rFonts w:ascii="PragmaticaCTT" w:hAnsi="PragmaticaCTT"/>
                <w:b/>
                <w:bCs/>
                <w:iCs/>
                <w:sz w:val="17"/>
                <w:szCs w:val="17"/>
                <w:lang w:val="uk-UA"/>
              </w:rPr>
              <w:t>Гранична сукупна вартість усіх правочинів</w:t>
            </w:r>
            <w:r w:rsidR="007E0FC1" w:rsidRPr="004D5C48">
              <w:rPr>
                <w:rFonts w:ascii="PragmaticaCTT" w:hAnsi="PragmaticaCTT"/>
                <w:bCs/>
                <w:iCs/>
                <w:sz w:val="17"/>
                <w:szCs w:val="17"/>
                <w:lang w:val="uk-UA"/>
              </w:rPr>
              <w:t xml:space="preserve">»). Для уникнення сумніву, до розрахунку Граничної сукупної вартості усіх правочинів не включається вартість правочинів, рішення щодо вчинення яких приймаються </w:t>
            </w:r>
            <w:r w:rsidR="007E0FC1" w:rsidRPr="004D5C48">
              <w:rPr>
                <w:rFonts w:ascii="PragmaticaCTT" w:hAnsi="PragmaticaCTT"/>
                <w:bCs/>
                <w:sz w:val="17"/>
                <w:szCs w:val="17"/>
                <w:lang w:val="uk-UA"/>
              </w:rPr>
              <w:t xml:space="preserve">Директором </w:t>
            </w:r>
            <w:r w:rsidR="007E0FC1" w:rsidRPr="004D5C48">
              <w:rPr>
                <w:rFonts w:ascii="PragmaticaCTT" w:hAnsi="PragmaticaCTT"/>
                <w:bCs/>
                <w:iCs/>
                <w:sz w:val="17"/>
                <w:szCs w:val="17"/>
                <w:lang w:val="uk-UA"/>
              </w:rPr>
              <w:t>або Наглядовою радою Товариства в межах своєї компетенції, встановленої статутом Товариства.</w:t>
            </w:r>
          </w:p>
        </w:tc>
      </w:tr>
      <w:tr w:rsidR="007E0FC1" w:rsidRPr="004E21B6" w14:paraId="0A6F20D4" w14:textId="77777777" w:rsidTr="007E0FC1">
        <w:trPr>
          <w:trHeight w:val="273"/>
        </w:trPr>
        <w:tc>
          <w:tcPr>
            <w:tcW w:w="812" w:type="dxa"/>
            <w:vMerge/>
          </w:tcPr>
          <w:p w14:paraId="33B962DF" w14:textId="77777777" w:rsidR="007E0FC1" w:rsidRPr="00FF621F" w:rsidRDefault="007E0FC1" w:rsidP="007E0FC1">
            <w:pPr>
              <w:pStyle w:val="a3"/>
              <w:numPr>
                <w:ilvl w:val="0"/>
                <w:numId w:val="4"/>
              </w:numPr>
              <w:autoSpaceDE w:val="0"/>
              <w:spacing w:line="240" w:lineRule="auto"/>
              <w:ind w:left="426"/>
              <w:contextualSpacing w:val="0"/>
              <w:rPr>
                <w:rFonts w:ascii="PragmaticaCTT" w:hAnsi="PragmaticaCTT"/>
                <w:b/>
                <w:bCs/>
                <w:sz w:val="17"/>
                <w:szCs w:val="17"/>
                <w:lang w:val="uk-UA"/>
              </w:rPr>
            </w:pPr>
          </w:p>
        </w:tc>
        <w:tc>
          <w:tcPr>
            <w:tcW w:w="3867" w:type="dxa"/>
            <w:vMerge/>
          </w:tcPr>
          <w:p w14:paraId="6A12CC7E" w14:textId="77777777" w:rsidR="007E0FC1" w:rsidRPr="004E21B6" w:rsidRDefault="007E0FC1" w:rsidP="00271C1D">
            <w:pPr>
              <w:autoSpaceDE w:val="0"/>
              <w:jc w:val="both"/>
              <w:rPr>
                <w:rFonts w:ascii="PragmaticaCTT" w:hAnsi="PragmaticaCTT"/>
                <w:bCs/>
                <w:sz w:val="17"/>
                <w:szCs w:val="17"/>
                <w:lang w:val="uk-UA"/>
              </w:rPr>
            </w:pPr>
          </w:p>
        </w:tc>
        <w:tc>
          <w:tcPr>
            <w:tcW w:w="5934" w:type="dxa"/>
          </w:tcPr>
          <w:p w14:paraId="6E3BE28D" w14:textId="772D143C" w:rsidR="007E0FC1" w:rsidRPr="00882B86" w:rsidRDefault="00882B86" w:rsidP="00882B86">
            <w:pPr>
              <w:widowControl w:val="0"/>
              <w:autoSpaceDE w:val="0"/>
              <w:rPr>
                <w:rFonts w:ascii="PragmaticaCTT" w:hAnsi="PragmaticaCTT"/>
                <w:bCs/>
                <w:iCs/>
                <w:sz w:val="17"/>
                <w:szCs w:val="17"/>
                <w:lang w:val="uk-UA"/>
              </w:rPr>
            </w:pPr>
            <w:r>
              <w:rPr>
                <w:rFonts w:ascii="PragmaticaCTT" w:hAnsi="PragmaticaCTT"/>
                <w:bCs/>
                <w:iCs/>
                <w:sz w:val="17"/>
                <w:szCs w:val="17"/>
                <w:lang w:val="uk-UA"/>
              </w:rPr>
              <w:t>3.3.</w:t>
            </w:r>
            <w:r w:rsidR="007E0FC1" w:rsidRPr="00882B86">
              <w:rPr>
                <w:rFonts w:ascii="PragmaticaCTT" w:hAnsi="PragmaticaCTT"/>
                <w:bCs/>
                <w:iCs/>
                <w:sz w:val="17"/>
                <w:szCs w:val="17"/>
                <w:lang w:val="uk-UA"/>
              </w:rPr>
              <w:t xml:space="preserve">На підставі та на виконання цієї попередньо наданої згоди надати виконавчому органу Товариства – </w:t>
            </w:r>
            <w:r w:rsidR="007E0FC1" w:rsidRPr="00882B86">
              <w:rPr>
                <w:rFonts w:ascii="PragmaticaCTT" w:hAnsi="PragmaticaCTT"/>
                <w:bCs/>
                <w:sz w:val="17"/>
                <w:szCs w:val="17"/>
                <w:lang w:val="uk-UA"/>
              </w:rPr>
              <w:t xml:space="preserve">Директору Товариства, </w:t>
            </w:r>
            <w:r w:rsidR="007E0FC1" w:rsidRPr="00882B86">
              <w:rPr>
                <w:rFonts w:ascii="PragmaticaCTT" w:hAnsi="PragmaticaCTT"/>
                <w:bCs/>
                <w:iCs/>
                <w:sz w:val="17"/>
                <w:szCs w:val="17"/>
                <w:lang w:val="uk-UA"/>
              </w:rPr>
              <w:t>та особі, яка буде тимчасово виконувати обов’язки Директора Товариства, згоду та повноваження на ведення переговорів, остаточне визначення умов (з урахуванням того, що такі умови повинні відповідати характеру правочинів та граничній сукупній вартості, що визначені цим рішенням Загальних зборів</w:t>
            </w:r>
            <w:r w:rsidR="007E0FC1" w:rsidRPr="00882B86">
              <w:rPr>
                <w:rFonts w:ascii="PragmaticaCTT" w:hAnsi="PragmaticaCTT"/>
                <w:bCs/>
                <w:iCs/>
                <w:sz w:val="17"/>
                <w:szCs w:val="17"/>
              </w:rPr>
              <w:t xml:space="preserve"> </w:t>
            </w:r>
            <w:r w:rsidR="007E0FC1" w:rsidRPr="00882B86">
              <w:rPr>
                <w:rFonts w:ascii="PragmaticaCTT" w:hAnsi="PragmaticaCTT"/>
                <w:bCs/>
                <w:iCs/>
                <w:sz w:val="17"/>
                <w:szCs w:val="17"/>
                <w:lang w:val="uk-UA"/>
              </w:rPr>
              <w:t>акціонерів), укладення та підписання (надання, вручення, оформлення) від імені Товариства Договорів та документів</w:t>
            </w:r>
            <w:r w:rsidR="007E0FC1" w:rsidRPr="00882B86">
              <w:rPr>
                <w:rFonts w:ascii="PragmaticaCTT" w:hAnsi="PragmaticaCTT"/>
                <w:bCs/>
                <w:sz w:val="17"/>
                <w:szCs w:val="17"/>
                <w:lang w:val="uk-UA"/>
              </w:rPr>
              <w:t>, а також право делегувати всі вищевказані повноваження будь-якій іншій особі за власним розсудом в порядку, що передбачений чинним законодавством України (в тому числі, на підставі належним чином виданої довіреності) та статутом Товариства.</w:t>
            </w:r>
          </w:p>
        </w:tc>
      </w:tr>
      <w:tr w:rsidR="007E0FC1" w:rsidRPr="00213CBB" w14:paraId="112205B2" w14:textId="77777777" w:rsidTr="007E0FC1">
        <w:trPr>
          <w:trHeight w:val="273"/>
        </w:trPr>
        <w:tc>
          <w:tcPr>
            <w:tcW w:w="812" w:type="dxa"/>
            <w:vMerge/>
          </w:tcPr>
          <w:p w14:paraId="644B242E" w14:textId="77777777" w:rsidR="007E0FC1" w:rsidRPr="00FF621F" w:rsidRDefault="007E0FC1" w:rsidP="00271C1D">
            <w:pPr>
              <w:pStyle w:val="a3"/>
              <w:autoSpaceDE w:val="0"/>
              <w:ind w:left="426"/>
              <w:contextualSpacing w:val="0"/>
              <w:rPr>
                <w:rFonts w:ascii="PragmaticaCTT" w:hAnsi="PragmaticaCTT"/>
                <w:b/>
                <w:bCs/>
                <w:sz w:val="17"/>
                <w:szCs w:val="17"/>
                <w:lang w:val="uk-UA"/>
              </w:rPr>
            </w:pPr>
          </w:p>
        </w:tc>
        <w:tc>
          <w:tcPr>
            <w:tcW w:w="3867" w:type="dxa"/>
            <w:vMerge/>
          </w:tcPr>
          <w:p w14:paraId="31B7D746" w14:textId="77777777" w:rsidR="007E0FC1" w:rsidRPr="004E21B6" w:rsidRDefault="007E0FC1" w:rsidP="00271C1D">
            <w:pPr>
              <w:autoSpaceDE w:val="0"/>
              <w:jc w:val="both"/>
              <w:rPr>
                <w:rFonts w:ascii="PragmaticaCTT" w:hAnsi="PragmaticaCTT"/>
                <w:bCs/>
                <w:sz w:val="17"/>
                <w:szCs w:val="17"/>
                <w:lang w:val="uk-UA"/>
              </w:rPr>
            </w:pPr>
          </w:p>
        </w:tc>
        <w:tc>
          <w:tcPr>
            <w:tcW w:w="5934" w:type="dxa"/>
          </w:tcPr>
          <w:p w14:paraId="74CA54BE" w14:textId="637814DA" w:rsidR="007E0FC1" w:rsidRPr="00882B86" w:rsidRDefault="00882B86" w:rsidP="00882B86">
            <w:pPr>
              <w:widowControl w:val="0"/>
              <w:autoSpaceDE w:val="0"/>
              <w:ind w:left="18"/>
              <w:rPr>
                <w:rFonts w:ascii="PragmaticaCTT" w:hAnsi="PragmaticaCTT"/>
                <w:bCs/>
                <w:iCs/>
                <w:sz w:val="17"/>
                <w:szCs w:val="17"/>
                <w:lang w:val="uk-UA"/>
              </w:rPr>
            </w:pPr>
            <w:r>
              <w:rPr>
                <w:rFonts w:ascii="PragmaticaCTT" w:hAnsi="PragmaticaCTT"/>
                <w:bCs/>
                <w:iCs/>
                <w:sz w:val="17"/>
                <w:szCs w:val="17"/>
                <w:lang w:val="uk-UA"/>
              </w:rPr>
              <w:t>3.4.</w:t>
            </w:r>
            <w:r w:rsidR="007E0FC1" w:rsidRPr="00882B86">
              <w:rPr>
                <w:rFonts w:ascii="PragmaticaCTT" w:hAnsi="PragmaticaCTT"/>
                <w:bCs/>
                <w:iCs/>
                <w:sz w:val="17"/>
                <w:szCs w:val="17"/>
                <w:lang w:val="uk-UA"/>
              </w:rPr>
              <w:t xml:space="preserve">Вчинення Товариством конкретних значних правочинів в межах попереднього схвалення, наданого </w:t>
            </w:r>
            <w:r w:rsidR="007E0FC1" w:rsidRPr="00882B86">
              <w:rPr>
                <w:rFonts w:ascii="PragmaticaCTT" w:hAnsi="PragmaticaCTT"/>
                <w:bCs/>
                <w:sz w:val="17"/>
                <w:szCs w:val="17"/>
                <w:lang w:val="uk-UA"/>
              </w:rPr>
              <w:t>цим рішенням</w:t>
            </w:r>
            <w:r w:rsidR="007E0FC1" w:rsidRPr="00882B86">
              <w:rPr>
                <w:rFonts w:ascii="PragmaticaCTT" w:hAnsi="PragmaticaCTT"/>
                <w:bCs/>
                <w:iCs/>
                <w:sz w:val="17"/>
                <w:szCs w:val="17"/>
                <w:lang w:val="uk-UA"/>
              </w:rPr>
              <w:t xml:space="preserve"> Загальних зборів акціонерів, підлягає окремому погодженню Наглядовою радою Товариства згідно з вимогами статуту Товариства</w:t>
            </w:r>
            <w:r w:rsidR="007E0FC1" w:rsidRPr="00882B86">
              <w:rPr>
                <w:rFonts w:ascii="PragmaticaCTT" w:hAnsi="PragmaticaCTT"/>
                <w:bCs/>
                <w:sz w:val="17"/>
                <w:szCs w:val="17"/>
                <w:lang w:val="uk-UA"/>
              </w:rPr>
              <w:t xml:space="preserve">. Для забезпечення </w:t>
            </w:r>
            <w:proofErr w:type="spellStart"/>
            <w:r w:rsidR="007E0FC1" w:rsidRPr="00882B86">
              <w:rPr>
                <w:rFonts w:ascii="PragmaticaCTT" w:hAnsi="PragmaticaCTT"/>
                <w:bCs/>
                <w:sz w:val="17"/>
                <w:szCs w:val="17"/>
                <w:lang w:val="uk-UA"/>
              </w:rPr>
              <w:t>неперевищення</w:t>
            </w:r>
            <w:proofErr w:type="spellEnd"/>
            <w:r w:rsidR="007E0FC1" w:rsidRPr="00882B86">
              <w:rPr>
                <w:rFonts w:ascii="PragmaticaCTT" w:hAnsi="PragmaticaCTT"/>
                <w:bCs/>
                <w:sz w:val="17"/>
                <w:szCs w:val="17"/>
                <w:lang w:val="uk-UA"/>
              </w:rPr>
              <w:t xml:space="preserve"> Граничної вартості окремого правочину та Граничної </w:t>
            </w:r>
            <w:r w:rsidR="007E0FC1" w:rsidRPr="00882B86">
              <w:rPr>
                <w:rFonts w:ascii="PragmaticaCTT" w:hAnsi="PragmaticaCTT"/>
                <w:bCs/>
                <w:sz w:val="17"/>
                <w:szCs w:val="17"/>
                <w:lang w:val="uk-UA"/>
              </w:rPr>
              <w:lastRenderedPageBreak/>
              <w:t>сукупної вартості усіх правочинів, перед вчиненням відповідного(-</w:t>
            </w:r>
            <w:proofErr w:type="spellStart"/>
            <w:r w:rsidR="007E0FC1" w:rsidRPr="00882B86">
              <w:rPr>
                <w:rFonts w:ascii="PragmaticaCTT" w:hAnsi="PragmaticaCTT"/>
                <w:bCs/>
                <w:sz w:val="17"/>
                <w:szCs w:val="17"/>
                <w:lang w:val="uk-UA"/>
              </w:rPr>
              <w:t>их</w:t>
            </w:r>
            <w:proofErr w:type="spellEnd"/>
            <w:r w:rsidR="007E0FC1" w:rsidRPr="00882B86">
              <w:rPr>
                <w:rFonts w:ascii="PragmaticaCTT" w:hAnsi="PragmaticaCTT"/>
                <w:bCs/>
                <w:sz w:val="17"/>
                <w:szCs w:val="17"/>
                <w:lang w:val="uk-UA"/>
              </w:rPr>
              <w:t>) правочину(-</w:t>
            </w:r>
            <w:proofErr w:type="spellStart"/>
            <w:r w:rsidR="007E0FC1" w:rsidRPr="00882B86">
              <w:rPr>
                <w:rFonts w:ascii="PragmaticaCTT" w:hAnsi="PragmaticaCTT"/>
                <w:bCs/>
                <w:sz w:val="17"/>
                <w:szCs w:val="17"/>
                <w:lang w:val="uk-UA"/>
              </w:rPr>
              <w:t>ів</w:t>
            </w:r>
            <w:proofErr w:type="spellEnd"/>
            <w:r w:rsidR="007E0FC1" w:rsidRPr="00882B86">
              <w:rPr>
                <w:rFonts w:ascii="PragmaticaCTT" w:hAnsi="PragmaticaCTT"/>
                <w:bCs/>
                <w:sz w:val="17"/>
                <w:szCs w:val="17"/>
                <w:lang w:val="uk-UA"/>
              </w:rPr>
              <w:t xml:space="preserve">), на який(-і) надано попередню згоду цим рішенням Загальних зборів акціонерів, Наглядова рада Товариства повинна підтвердити шляхом прийняття відповідного рішення факт </w:t>
            </w:r>
            <w:proofErr w:type="spellStart"/>
            <w:r w:rsidR="007E0FC1" w:rsidRPr="00882B86">
              <w:rPr>
                <w:rFonts w:ascii="PragmaticaCTT" w:hAnsi="PragmaticaCTT"/>
                <w:bCs/>
                <w:sz w:val="17"/>
                <w:szCs w:val="17"/>
                <w:lang w:val="uk-UA"/>
              </w:rPr>
              <w:t>неперевищення</w:t>
            </w:r>
            <w:proofErr w:type="spellEnd"/>
            <w:r w:rsidR="007E0FC1" w:rsidRPr="00882B86">
              <w:rPr>
                <w:rFonts w:ascii="PragmaticaCTT" w:hAnsi="PragmaticaCTT"/>
                <w:bCs/>
                <w:sz w:val="17"/>
                <w:szCs w:val="17"/>
                <w:lang w:val="uk-UA"/>
              </w:rPr>
              <w:t xml:space="preserve"> Граничної вартості окремого правочину та Граничної сукупної вартості усіх правочинів внаслідок вчинення такого(-</w:t>
            </w:r>
            <w:proofErr w:type="spellStart"/>
            <w:r w:rsidR="007E0FC1" w:rsidRPr="00882B86">
              <w:rPr>
                <w:rFonts w:ascii="PragmaticaCTT" w:hAnsi="PragmaticaCTT"/>
                <w:bCs/>
                <w:sz w:val="17"/>
                <w:szCs w:val="17"/>
                <w:lang w:val="uk-UA"/>
              </w:rPr>
              <w:t>их</w:t>
            </w:r>
            <w:proofErr w:type="spellEnd"/>
            <w:r w:rsidR="007E0FC1" w:rsidRPr="00882B86">
              <w:rPr>
                <w:rFonts w:ascii="PragmaticaCTT" w:hAnsi="PragmaticaCTT"/>
                <w:bCs/>
                <w:sz w:val="17"/>
                <w:szCs w:val="17"/>
                <w:lang w:val="uk-UA"/>
              </w:rPr>
              <w:t>) правочину(-</w:t>
            </w:r>
            <w:proofErr w:type="spellStart"/>
            <w:r w:rsidR="007E0FC1" w:rsidRPr="00882B86">
              <w:rPr>
                <w:rFonts w:ascii="PragmaticaCTT" w:hAnsi="PragmaticaCTT"/>
                <w:bCs/>
                <w:sz w:val="17"/>
                <w:szCs w:val="17"/>
                <w:lang w:val="uk-UA"/>
              </w:rPr>
              <w:t>ів</w:t>
            </w:r>
            <w:proofErr w:type="spellEnd"/>
            <w:r w:rsidR="007E0FC1" w:rsidRPr="00882B86">
              <w:rPr>
                <w:rFonts w:ascii="PragmaticaCTT" w:hAnsi="PragmaticaCTT"/>
                <w:bCs/>
                <w:sz w:val="17"/>
                <w:szCs w:val="17"/>
                <w:lang w:val="uk-UA"/>
              </w:rPr>
              <w:t>).</w:t>
            </w:r>
          </w:p>
        </w:tc>
      </w:tr>
      <w:tr w:rsidR="007E0FC1" w:rsidRPr="00213CBB" w14:paraId="6B3571BE" w14:textId="77777777" w:rsidTr="007E0FC1">
        <w:trPr>
          <w:trHeight w:val="273"/>
        </w:trPr>
        <w:tc>
          <w:tcPr>
            <w:tcW w:w="812" w:type="dxa"/>
            <w:vMerge w:val="restart"/>
          </w:tcPr>
          <w:p w14:paraId="61413D20" w14:textId="10C4E7E8" w:rsidR="007E0FC1" w:rsidRPr="00FF621F" w:rsidRDefault="00882B86" w:rsidP="00882B86">
            <w:pPr>
              <w:pStyle w:val="a3"/>
              <w:autoSpaceDE w:val="0"/>
              <w:spacing w:line="240" w:lineRule="auto"/>
              <w:ind w:left="426" w:firstLine="0"/>
              <w:contextualSpacing w:val="0"/>
              <w:rPr>
                <w:rFonts w:ascii="PragmaticaCTT" w:hAnsi="PragmaticaCTT"/>
                <w:b/>
                <w:bCs/>
                <w:sz w:val="17"/>
                <w:szCs w:val="17"/>
                <w:lang w:val="uk-UA"/>
              </w:rPr>
            </w:pPr>
            <w:r>
              <w:rPr>
                <w:rFonts w:ascii="PragmaticaCTT" w:hAnsi="PragmaticaCTT"/>
                <w:b/>
                <w:bCs/>
                <w:sz w:val="17"/>
                <w:szCs w:val="17"/>
                <w:lang w:val="uk-UA"/>
              </w:rPr>
              <w:lastRenderedPageBreak/>
              <w:t>4</w:t>
            </w:r>
          </w:p>
        </w:tc>
        <w:tc>
          <w:tcPr>
            <w:tcW w:w="3867" w:type="dxa"/>
            <w:vMerge w:val="restart"/>
          </w:tcPr>
          <w:p w14:paraId="1ED2EF0F" w14:textId="77777777" w:rsidR="007E0FC1" w:rsidRPr="004E21B6" w:rsidRDefault="007E0FC1" w:rsidP="00271C1D">
            <w:pPr>
              <w:autoSpaceDE w:val="0"/>
              <w:jc w:val="both"/>
              <w:rPr>
                <w:rFonts w:ascii="PragmaticaCTT" w:hAnsi="PragmaticaCTT"/>
                <w:bCs/>
                <w:sz w:val="17"/>
                <w:szCs w:val="17"/>
                <w:lang w:val="uk-UA"/>
              </w:rPr>
            </w:pPr>
            <w:r w:rsidRPr="004E21B6">
              <w:rPr>
                <w:rFonts w:ascii="PragmaticaCTT" w:hAnsi="PragmaticaCTT"/>
                <w:bCs/>
                <w:sz w:val="17"/>
                <w:szCs w:val="17"/>
                <w:lang w:val="uk-UA"/>
              </w:rPr>
              <w:t>Надання згоди на вчинення Товариством правочинів, щодо вчинення яких є заінтересованість.</w:t>
            </w:r>
          </w:p>
        </w:tc>
        <w:tc>
          <w:tcPr>
            <w:tcW w:w="5934" w:type="dxa"/>
          </w:tcPr>
          <w:p w14:paraId="1D29E4A6" w14:textId="7991720E" w:rsidR="007E0FC1" w:rsidRPr="00882B86" w:rsidRDefault="00882B86" w:rsidP="00882B86">
            <w:pPr>
              <w:widowControl w:val="0"/>
              <w:autoSpaceDE w:val="0"/>
              <w:ind w:left="18"/>
              <w:rPr>
                <w:sz w:val="17"/>
                <w:szCs w:val="17"/>
                <w:lang w:val="uk-UA"/>
              </w:rPr>
            </w:pPr>
            <w:r>
              <w:rPr>
                <w:rFonts w:ascii="PragmaticaCTT" w:hAnsi="PragmaticaCTT"/>
                <w:bCs/>
                <w:iCs/>
                <w:sz w:val="17"/>
                <w:szCs w:val="17"/>
                <w:lang w:val="uk-UA"/>
              </w:rPr>
              <w:t>4.1.</w:t>
            </w:r>
            <w:r w:rsidR="007E0FC1" w:rsidRPr="00882B86">
              <w:rPr>
                <w:rFonts w:ascii="PragmaticaCTT" w:hAnsi="PragmaticaCTT"/>
                <w:bCs/>
                <w:iCs/>
                <w:sz w:val="17"/>
                <w:szCs w:val="17"/>
                <w:lang w:val="uk-UA"/>
              </w:rPr>
              <w:t>Попередньо надати згоду на вчинення Товариством протягом не більш як 1 (одного) року за дати прийняття такого рішення Загальними зборами акціонерів тих Договорів та документів, які зазначені у пункті 3.1 рішення цих Загальних зборів акціонерів, які є правочинами, щодо вчинення яких є заінтересованість, з урахуванням того, що Директор Товариства, або особа, що виконує його обов’язки, або інша особа, уповноважена на це довіреністю, виданою Директором Товариства або особою, що виконує його обов’язки, без необхідності отримання окремого рішення (згоди, схвалення) Загальних зборів акціонерів та/або Наглядової ради Товариства, може на свій розсуд визначати, змінювати та остаточно погоджувати всі умови проектів Договорів та документів, окрім тих умов, які зазначені у пунктах 3.1-3.2 цього рішення Загальних зборів акціонерів.</w:t>
            </w:r>
          </w:p>
        </w:tc>
      </w:tr>
      <w:tr w:rsidR="007E0FC1" w:rsidRPr="00213CBB" w14:paraId="2088AED2" w14:textId="77777777" w:rsidTr="007E0FC1">
        <w:trPr>
          <w:trHeight w:val="273"/>
        </w:trPr>
        <w:tc>
          <w:tcPr>
            <w:tcW w:w="812" w:type="dxa"/>
            <w:vMerge/>
          </w:tcPr>
          <w:p w14:paraId="7C598420" w14:textId="77777777" w:rsidR="007E0FC1" w:rsidRPr="00FF621F" w:rsidRDefault="007E0FC1" w:rsidP="00271C1D">
            <w:pPr>
              <w:pStyle w:val="a3"/>
              <w:autoSpaceDE w:val="0"/>
              <w:ind w:left="426"/>
              <w:contextualSpacing w:val="0"/>
              <w:rPr>
                <w:rFonts w:ascii="PragmaticaCTT" w:hAnsi="PragmaticaCTT"/>
                <w:b/>
                <w:bCs/>
                <w:sz w:val="17"/>
                <w:szCs w:val="17"/>
                <w:lang w:val="uk-UA"/>
              </w:rPr>
            </w:pPr>
          </w:p>
        </w:tc>
        <w:tc>
          <w:tcPr>
            <w:tcW w:w="3867" w:type="dxa"/>
            <w:vMerge/>
          </w:tcPr>
          <w:p w14:paraId="112EB471" w14:textId="77777777" w:rsidR="007E0FC1" w:rsidRPr="004E21B6" w:rsidRDefault="007E0FC1" w:rsidP="00271C1D">
            <w:pPr>
              <w:autoSpaceDE w:val="0"/>
              <w:jc w:val="both"/>
              <w:rPr>
                <w:rFonts w:ascii="PragmaticaCTT" w:hAnsi="PragmaticaCTT"/>
                <w:bCs/>
                <w:sz w:val="17"/>
                <w:szCs w:val="17"/>
                <w:lang w:val="uk-UA"/>
              </w:rPr>
            </w:pPr>
          </w:p>
        </w:tc>
        <w:tc>
          <w:tcPr>
            <w:tcW w:w="5934" w:type="dxa"/>
          </w:tcPr>
          <w:p w14:paraId="47CD0D6B" w14:textId="3CD96BF2" w:rsidR="007E0FC1" w:rsidRPr="004E21B6" w:rsidRDefault="00882B86" w:rsidP="00882B86">
            <w:pPr>
              <w:pStyle w:val="a3"/>
              <w:widowControl w:val="0"/>
              <w:autoSpaceDE w:val="0"/>
              <w:spacing w:line="240" w:lineRule="auto"/>
              <w:ind w:left="18" w:firstLine="0"/>
              <w:rPr>
                <w:rFonts w:ascii="PragmaticaCTT" w:hAnsi="PragmaticaCTT"/>
                <w:bCs/>
                <w:iCs/>
                <w:sz w:val="17"/>
                <w:szCs w:val="17"/>
                <w:lang w:val="uk-UA"/>
              </w:rPr>
            </w:pPr>
            <w:r>
              <w:rPr>
                <w:rFonts w:ascii="PragmaticaCTT" w:hAnsi="PragmaticaCTT"/>
                <w:bCs/>
                <w:iCs/>
                <w:sz w:val="17"/>
                <w:szCs w:val="17"/>
                <w:lang w:val="uk-UA"/>
              </w:rPr>
              <w:t>4.2.</w:t>
            </w:r>
            <w:r w:rsidR="007E0FC1" w:rsidRPr="004E21B6">
              <w:rPr>
                <w:rFonts w:ascii="PragmaticaCTT" w:hAnsi="PragmaticaCTT"/>
                <w:bCs/>
                <w:iCs/>
                <w:sz w:val="17"/>
                <w:szCs w:val="17"/>
                <w:lang w:val="uk-UA"/>
              </w:rPr>
              <w:t>Надати дозвіл на видачу Директором Товариства або особою, яка виконує його обов’язки, довіреності(-ей) на вчинення від імені Товариства правочинів, вказаних в пункті 4.1 цього рішення Загальних зборів акціонерів, а також інших пов’язаних з ними правочинів.</w:t>
            </w:r>
          </w:p>
        </w:tc>
      </w:tr>
    </w:tbl>
    <w:p w14:paraId="15E02879" w14:textId="77777777" w:rsidR="0095764E" w:rsidRPr="001D2794" w:rsidRDefault="0095764E" w:rsidP="0095764E">
      <w:pPr>
        <w:widowControl w:val="0"/>
        <w:shd w:val="clear" w:color="auto" w:fill="FFFFFF"/>
        <w:autoSpaceDE w:val="0"/>
        <w:ind w:firstLine="426"/>
        <w:jc w:val="both"/>
        <w:rPr>
          <w:rFonts w:ascii="PragmaticaCTT" w:hAnsi="PragmaticaCTT"/>
          <w:bCs/>
          <w:sz w:val="17"/>
          <w:szCs w:val="17"/>
          <w:lang w:val="uk-UA"/>
        </w:rPr>
      </w:pPr>
      <w:r w:rsidRPr="001D2794">
        <w:rPr>
          <w:rFonts w:ascii="PragmaticaCTT" w:hAnsi="PragmaticaCTT"/>
          <w:bCs/>
          <w:sz w:val="17"/>
          <w:szCs w:val="17"/>
          <w:lang w:val="uk-UA"/>
        </w:rPr>
        <w:t>Інформацію з проектами рішень щодо кожного з питань, включених до порядку денного розміщено на веб-сайті Товариства, а саме: 00373907.infosite.com.ua.</w:t>
      </w:r>
    </w:p>
    <w:p w14:paraId="537D55F1" w14:textId="77777777" w:rsidR="0095764E" w:rsidRPr="001D2794" w:rsidRDefault="0095764E" w:rsidP="0095764E">
      <w:pPr>
        <w:widowControl w:val="0"/>
        <w:autoSpaceDE w:val="0"/>
        <w:ind w:firstLine="426"/>
        <w:jc w:val="both"/>
        <w:rPr>
          <w:rFonts w:ascii="PragmaticaCTT" w:hAnsi="PragmaticaCTT"/>
          <w:bCs/>
          <w:sz w:val="17"/>
          <w:szCs w:val="17"/>
          <w:lang w:val="uk-UA"/>
        </w:rPr>
      </w:pPr>
    </w:p>
    <w:p w14:paraId="0A56E0EF" w14:textId="77777777" w:rsidR="0095764E" w:rsidRPr="001D2794" w:rsidRDefault="0095764E" w:rsidP="0095764E">
      <w:pPr>
        <w:widowControl w:val="0"/>
        <w:autoSpaceDE w:val="0"/>
        <w:ind w:firstLine="426"/>
        <w:jc w:val="both"/>
        <w:rPr>
          <w:rFonts w:ascii="PragmaticaCTT" w:hAnsi="PragmaticaCTT"/>
          <w:bCs/>
          <w:sz w:val="17"/>
          <w:szCs w:val="17"/>
          <w:lang w:val="uk-UA"/>
        </w:rPr>
      </w:pPr>
      <w:r w:rsidRPr="001D2794">
        <w:rPr>
          <w:rFonts w:ascii="PragmaticaCTT" w:hAnsi="PragmaticaCTT"/>
          <w:bCs/>
          <w:sz w:val="17"/>
          <w:szCs w:val="17"/>
          <w:lang w:val="uk-UA"/>
        </w:rPr>
        <w:t xml:space="preserve">Датою складення переліку акціонерів, які мають право на участь у Загальних зборах, є </w:t>
      </w:r>
      <w:r w:rsidRPr="001D2794">
        <w:rPr>
          <w:rFonts w:ascii="PragmaticaCTT" w:hAnsi="PragmaticaCTT"/>
          <w:b/>
          <w:bCs/>
          <w:sz w:val="17"/>
          <w:szCs w:val="17"/>
          <w:lang w:val="uk-UA"/>
        </w:rPr>
        <w:t>22 серпня 2019 року</w:t>
      </w:r>
      <w:r w:rsidRPr="001D2794">
        <w:rPr>
          <w:rFonts w:ascii="PragmaticaCTT" w:hAnsi="PragmaticaCTT"/>
          <w:bCs/>
          <w:sz w:val="17"/>
          <w:szCs w:val="17"/>
          <w:lang w:val="uk-UA"/>
        </w:rPr>
        <w:t xml:space="preserve"> (станом на 24.00 годину).</w:t>
      </w:r>
    </w:p>
    <w:p w14:paraId="41FFF742" w14:textId="77777777" w:rsidR="0095764E" w:rsidRPr="001D2794" w:rsidRDefault="0095764E" w:rsidP="0095764E">
      <w:pPr>
        <w:ind w:firstLine="426"/>
        <w:jc w:val="both"/>
        <w:rPr>
          <w:rFonts w:ascii="PragmaticaCTT" w:hAnsi="PragmaticaCTT"/>
          <w:bCs/>
          <w:sz w:val="17"/>
          <w:szCs w:val="17"/>
          <w:lang w:val="uk-UA"/>
        </w:rPr>
      </w:pPr>
      <w:r w:rsidRPr="001D2794">
        <w:rPr>
          <w:rFonts w:ascii="PragmaticaCTT" w:hAnsi="PragmaticaCTT"/>
          <w:bCs/>
          <w:sz w:val="17"/>
          <w:szCs w:val="17"/>
          <w:lang w:val="uk-UA"/>
        </w:rPr>
        <w:t>Станом на 1 серпня 2019 року (дата складення переліку осіб, яким надсилається повідомлення про проведення Загальних зборів) загальна кількість простих іменних акцій Товариства складає: 118 736 528 шт.; загальна кількість голосуючих акцій Товариства складає: 118 506 982 шт.</w:t>
      </w:r>
    </w:p>
    <w:p w14:paraId="13BD6EEE" w14:textId="77777777" w:rsidR="0095764E" w:rsidRPr="001D2794" w:rsidRDefault="0095764E" w:rsidP="0095764E">
      <w:pPr>
        <w:ind w:firstLine="426"/>
        <w:jc w:val="both"/>
        <w:rPr>
          <w:rFonts w:ascii="PragmaticaCTT" w:hAnsi="PragmaticaCTT"/>
          <w:bCs/>
          <w:sz w:val="17"/>
          <w:szCs w:val="17"/>
          <w:lang w:val="uk-UA"/>
        </w:rPr>
      </w:pPr>
    </w:p>
    <w:p w14:paraId="65554CAB" w14:textId="77777777" w:rsidR="0095764E" w:rsidRPr="001D2794" w:rsidRDefault="0095764E" w:rsidP="0095764E">
      <w:pPr>
        <w:ind w:firstLine="426"/>
        <w:jc w:val="both"/>
        <w:rPr>
          <w:rFonts w:ascii="PragmaticaCTT" w:hAnsi="PragmaticaCTT"/>
          <w:bCs/>
          <w:sz w:val="17"/>
          <w:szCs w:val="17"/>
          <w:lang w:val="uk-UA"/>
        </w:rPr>
      </w:pPr>
      <w:r w:rsidRPr="001D2794">
        <w:rPr>
          <w:rFonts w:ascii="PragmaticaCTT" w:hAnsi="PragmaticaCTT"/>
          <w:bCs/>
          <w:sz w:val="17"/>
          <w:szCs w:val="17"/>
          <w:lang w:val="uk-UA"/>
        </w:rPr>
        <w:t xml:space="preserve">Для участі у Загальних зборах при собі слід мати документ, що ідентифікує особу акціонера (його представника), а для представника акціонера – також документи, що підтверджують повноваження представника на участь у Загальних зборах. </w:t>
      </w:r>
    </w:p>
    <w:p w14:paraId="146B1C68" w14:textId="77777777" w:rsidR="0095764E" w:rsidRPr="001D2794" w:rsidRDefault="0095764E" w:rsidP="0095764E">
      <w:pPr>
        <w:ind w:firstLine="426"/>
        <w:jc w:val="both"/>
        <w:rPr>
          <w:rFonts w:ascii="PragmaticaCTT" w:hAnsi="PragmaticaCTT"/>
          <w:bCs/>
          <w:sz w:val="17"/>
          <w:szCs w:val="17"/>
          <w:lang w:val="uk-UA"/>
        </w:rPr>
      </w:pPr>
      <w:r w:rsidRPr="001D2794">
        <w:rPr>
          <w:rFonts w:ascii="PragmaticaCTT" w:hAnsi="PragmaticaCTT"/>
          <w:bCs/>
          <w:sz w:val="17"/>
          <w:szCs w:val="17"/>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6C2D84EA" w14:textId="77777777" w:rsidR="0095764E" w:rsidRPr="001D2794" w:rsidRDefault="0095764E" w:rsidP="0095764E">
      <w:pPr>
        <w:ind w:firstLine="426"/>
        <w:jc w:val="both"/>
        <w:rPr>
          <w:rFonts w:ascii="PragmaticaCTT" w:hAnsi="PragmaticaCTT"/>
          <w:bCs/>
          <w:sz w:val="17"/>
          <w:szCs w:val="17"/>
          <w:lang w:val="uk-UA"/>
        </w:rPr>
      </w:pPr>
      <w:r w:rsidRPr="001D2794">
        <w:rPr>
          <w:rFonts w:ascii="PragmaticaCTT" w:hAnsi="PragmaticaCTT"/>
          <w:bCs/>
          <w:sz w:val="17"/>
          <w:szCs w:val="17"/>
          <w:lang w:val="uk-UA"/>
        </w:rPr>
        <w:t xml:space="preserve">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14:paraId="2950FB9F" w14:textId="77777777" w:rsidR="0095764E" w:rsidRPr="001D2794" w:rsidRDefault="0095764E" w:rsidP="0095764E">
      <w:pPr>
        <w:ind w:firstLine="426"/>
        <w:jc w:val="both"/>
        <w:rPr>
          <w:rFonts w:ascii="PragmaticaCTT" w:hAnsi="PragmaticaCTT"/>
          <w:bCs/>
          <w:sz w:val="17"/>
          <w:szCs w:val="17"/>
          <w:lang w:val="uk-UA"/>
        </w:rPr>
      </w:pPr>
      <w:r w:rsidRPr="001D2794">
        <w:rPr>
          <w:rFonts w:ascii="PragmaticaCTT" w:hAnsi="PragmaticaCTT"/>
          <w:bCs/>
          <w:sz w:val="17"/>
          <w:szCs w:val="17"/>
          <w:lang w:val="uk-UA"/>
        </w:rPr>
        <w:t xml:space="preserve">Акціонер має право видати довіреність на право участі та голосування на Загальних зборах декільком своїм представникам. </w:t>
      </w:r>
    </w:p>
    <w:p w14:paraId="22D1CAEB" w14:textId="77777777" w:rsidR="0095764E" w:rsidRPr="001D2794" w:rsidRDefault="0095764E" w:rsidP="0095764E">
      <w:pPr>
        <w:ind w:firstLine="426"/>
        <w:jc w:val="both"/>
        <w:rPr>
          <w:rFonts w:ascii="PragmaticaCTT" w:hAnsi="PragmaticaCTT"/>
          <w:bCs/>
          <w:sz w:val="17"/>
          <w:szCs w:val="17"/>
          <w:lang w:val="uk-UA"/>
        </w:rPr>
      </w:pPr>
      <w:r w:rsidRPr="001D2794">
        <w:rPr>
          <w:rFonts w:ascii="PragmaticaCTT" w:hAnsi="PragmaticaCTT"/>
          <w:bCs/>
          <w:sz w:val="17"/>
          <w:szCs w:val="17"/>
          <w:lang w:val="uk-UA"/>
        </w:rPr>
        <w:t xml:space="preserve">Акціонер має право у будь-який час відкликати чи замінити свого представника на Загальних зборах Товариства. </w:t>
      </w:r>
    </w:p>
    <w:p w14:paraId="65627023" w14:textId="77777777" w:rsidR="0095764E" w:rsidRPr="001D2794" w:rsidRDefault="0095764E" w:rsidP="0095764E">
      <w:pPr>
        <w:ind w:firstLine="426"/>
        <w:jc w:val="both"/>
        <w:rPr>
          <w:rFonts w:ascii="PragmaticaCTT" w:hAnsi="PragmaticaCTT"/>
          <w:bCs/>
          <w:sz w:val="17"/>
          <w:szCs w:val="17"/>
          <w:lang w:val="uk-UA"/>
        </w:rPr>
      </w:pPr>
      <w:r w:rsidRPr="001D2794">
        <w:rPr>
          <w:rFonts w:ascii="PragmaticaCTT" w:hAnsi="PragmaticaCTT"/>
          <w:bCs/>
          <w:sz w:val="17"/>
          <w:szCs w:val="17"/>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0C74D598" w14:textId="77777777" w:rsidR="0095764E" w:rsidRPr="001D2794" w:rsidRDefault="0095764E" w:rsidP="0095764E">
      <w:pPr>
        <w:shd w:val="clear" w:color="auto" w:fill="FFFFFF" w:themeFill="background1"/>
        <w:ind w:firstLine="425"/>
        <w:jc w:val="both"/>
        <w:rPr>
          <w:rFonts w:ascii="PragmaticaCTT" w:hAnsi="PragmaticaCTT"/>
          <w:bCs/>
          <w:sz w:val="17"/>
          <w:szCs w:val="17"/>
          <w:lang w:val="uk-UA"/>
        </w:rPr>
      </w:pPr>
      <w:bookmarkStart w:id="1" w:name="_Hlk506902810"/>
    </w:p>
    <w:p w14:paraId="7932EAC0" w14:textId="77777777" w:rsidR="0095764E" w:rsidRPr="001D2794" w:rsidRDefault="0095764E" w:rsidP="0095764E">
      <w:pPr>
        <w:shd w:val="clear" w:color="auto" w:fill="FFFFFF" w:themeFill="background1"/>
        <w:ind w:firstLine="425"/>
        <w:jc w:val="both"/>
        <w:rPr>
          <w:rFonts w:ascii="PragmaticaCTT" w:hAnsi="PragmaticaCTT"/>
          <w:bCs/>
          <w:sz w:val="17"/>
          <w:szCs w:val="17"/>
          <w:lang w:val="uk-UA"/>
        </w:rPr>
      </w:pPr>
      <w:r w:rsidRPr="001D2794">
        <w:rPr>
          <w:rFonts w:ascii="PragmaticaCTT" w:hAnsi="PragmaticaCTT"/>
          <w:bCs/>
          <w:sz w:val="17"/>
          <w:szCs w:val="17"/>
          <w:lang w:val="uk-UA"/>
        </w:rPr>
        <w:t>Відповідно до ст. 36 Закону України «Про акціонерні товариства»,</w:t>
      </w:r>
      <w:bookmarkEnd w:id="1"/>
      <w:r w:rsidRPr="001D2794">
        <w:rPr>
          <w:rFonts w:ascii="PragmaticaCTT" w:hAnsi="PragmaticaCTT"/>
          <w:bCs/>
          <w:sz w:val="17"/>
          <w:szCs w:val="17"/>
          <w:lang w:val="uk-UA"/>
        </w:rPr>
        <w:t xml:space="preserve"> акціонери мають право звернутися до Товариства за його місцезнаходженням з письмовими запитаннями щодо питань, включених до порядку денного Загальних зборів до дати проведення зборів.</w:t>
      </w:r>
    </w:p>
    <w:p w14:paraId="3164D358" w14:textId="77777777" w:rsidR="0095764E" w:rsidRPr="001D2794" w:rsidRDefault="0095764E" w:rsidP="0095764E">
      <w:pPr>
        <w:shd w:val="clear" w:color="auto" w:fill="FFFFFF" w:themeFill="background1"/>
        <w:ind w:firstLine="425"/>
        <w:jc w:val="both"/>
        <w:rPr>
          <w:rFonts w:ascii="PragmaticaCTT" w:hAnsi="PragmaticaCTT"/>
          <w:bCs/>
          <w:sz w:val="17"/>
          <w:szCs w:val="17"/>
          <w:lang w:val="uk-UA"/>
        </w:rPr>
      </w:pPr>
      <w:r w:rsidRPr="001D2794">
        <w:rPr>
          <w:rFonts w:ascii="PragmaticaCTT" w:hAnsi="PragmaticaCTT"/>
          <w:bCs/>
          <w:sz w:val="17"/>
          <w:szCs w:val="17"/>
          <w:lang w:val="uk-UA"/>
        </w:rPr>
        <w:t>Відповідно до ст. 38 Закону України «Про акціонерні товариства», кожний акціонер має право вносити пропозиції щодо питань, включених до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w:t>
      </w:r>
    </w:p>
    <w:p w14:paraId="040C99BC" w14:textId="77777777" w:rsidR="0095764E" w:rsidRPr="001D2794" w:rsidRDefault="0095764E" w:rsidP="0095764E">
      <w:pPr>
        <w:widowControl w:val="0"/>
        <w:autoSpaceDE w:val="0"/>
        <w:ind w:firstLine="425"/>
        <w:jc w:val="both"/>
        <w:rPr>
          <w:rFonts w:ascii="PragmaticaCTT" w:hAnsi="PragmaticaCTT"/>
          <w:bCs/>
          <w:sz w:val="17"/>
          <w:szCs w:val="17"/>
          <w:lang w:val="uk-UA"/>
        </w:rPr>
      </w:pPr>
    </w:p>
    <w:p w14:paraId="72726EB3" w14:textId="77777777" w:rsidR="0095764E" w:rsidRPr="001D2794" w:rsidRDefault="0095764E" w:rsidP="0095764E">
      <w:pPr>
        <w:widowControl w:val="0"/>
        <w:autoSpaceDE w:val="0"/>
        <w:ind w:firstLine="426"/>
        <w:jc w:val="both"/>
        <w:rPr>
          <w:rFonts w:ascii="PragmaticaCTT" w:hAnsi="PragmaticaCTT"/>
          <w:bCs/>
          <w:sz w:val="17"/>
          <w:szCs w:val="17"/>
          <w:lang w:val="uk-UA"/>
        </w:rPr>
      </w:pPr>
      <w:r w:rsidRPr="001D2794">
        <w:rPr>
          <w:rFonts w:ascii="PragmaticaCTT" w:hAnsi="PragmaticaCTT"/>
          <w:bCs/>
          <w:sz w:val="17"/>
          <w:szCs w:val="17"/>
          <w:lang w:val="uk-UA"/>
        </w:rPr>
        <w:t xml:space="preserve">У період від дати надіслання повідомлення про проведення Загальних зборів до дати проведення Загальних зборів, акціонери можуть ознайомитися з документами, необхідними для прийняття рішень з питань порядку денного, за місцезнаходженням Товариства: вул. Маршала Бірюзова, буд.17, </w:t>
      </w:r>
      <w:proofErr w:type="spellStart"/>
      <w:r w:rsidRPr="001D2794">
        <w:rPr>
          <w:rFonts w:ascii="PragmaticaCTT" w:hAnsi="PragmaticaCTT"/>
          <w:bCs/>
          <w:sz w:val="17"/>
          <w:szCs w:val="17"/>
          <w:lang w:val="uk-UA"/>
        </w:rPr>
        <w:t>каб</w:t>
      </w:r>
      <w:proofErr w:type="spellEnd"/>
      <w:r w:rsidRPr="001D2794">
        <w:rPr>
          <w:rFonts w:ascii="PragmaticaCTT" w:hAnsi="PragmaticaCTT"/>
          <w:bCs/>
          <w:sz w:val="17"/>
          <w:szCs w:val="17"/>
          <w:lang w:val="uk-UA"/>
        </w:rPr>
        <w:t>. 20, м. Полтава, у робочі дні та у робочий час (з 8:00 год. до 17:00 год., обідня перерва з 12:00 год. до 13:00 год.), а в день проведення Загальних зборів – також у місці їх проведення. Особою, відповідальною за порядок ознайомлення акціонерів з документами, є директор Товариства – Данильченко Сергій Анатолійович.</w:t>
      </w:r>
    </w:p>
    <w:p w14:paraId="2B0DCC14" w14:textId="77777777" w:rsidR="0095764E" w:rsidRPr="001D2794" w:rsidRDefault="0095764E" w:rsidP="0095764E">
      <w:pPr>
        <w:widowControl w:val="0"/>
        <w:autoSpaceDE w:val="0"/>
        <w:autoSpaceDN w:val="0"/>
        <w:adjustRightInd w:val="0"/>
        <w:ind w:firstLine="426"/>
        <w:jc w:val="both"/>
        <w:rPr>
          <w:rFonts w:ascii="PragmaticaCTT" w:hAnsi="PragmaticaCTT"/>
          <w:sz w:val="17"/>
          <w:szCs w:val="17"/>
          <w:lang w:val="uk-UA"/>
        </w:rPr>
      </w:pPr>
      <w:r w:rsidRPr="001D2794">
        <w:rPr>
          <w:rFonts w:ascii="PragmaticaCTT" w:hAnsi="PragmaticaCTT"/>
          <w:bCs/>
          <w:sz w:val="17"/>
          <w:szCs w:val="17"/>
          <w:lang w:val="uk-UA"/>
        </w:rPr>
        <w:t>Довідки за телефоном: (0532) 51-95-55, (0532) 51-95-69.</w:t>
      </w:r>
    </w:p>
    <w:p w14:paraId="4B5AE944" w14:textId="77777777" w:rsidR="0095764E" w:rsidRPr="001D2794" w:rsidRDefault="0095764E" w:rsidP="0095764E">
      <w:pPr>
        <w:widowControl w:val="0"/>
        <w:autoSpaceDE w:val="0"/>
        <w:autoSpaceDN w:val="0"/>
        <w:adjustRightInd w:val="0"/>
        <w:ind w:firstLine="426"/>
        <w:jc w:val="both"/>
        <w:rPr>
          <w:rFonts w:ascii="PragmaticaCTT" w:hAnsi="PragmaticaCTT"/>
          <w:sz w:val="17"/>
          <w:szCs w:val="17"/>
          <w:lang w:val="uk-UA"/>
        </w:rPr>
      </w:pPr>
    </w:p>
    <w:p w14:paraId="79B3B2E9" w14:textId="77777777" w:rsidR="0095764E" w:rsidRPr="001D2794" w:rsidRDefault="0095764E" w:rsidP="0095764E">
      <w:pPr>
        <w:rPr>
          <w:rFonts w:ascii="PragmaticaCTT" w:hAnsi="PragmaticaCTT"/>
          <w:sz w:val="17"/>
          <w:szCs w:val="17"/>
          <w:lang w:val="uk-UA"/>
        </w:rPr>
      </w:pPr>
    </w:p>
    <w:p w14:paraId="7DE39358" w14:textId="77777777" w:rsidR="0095764E" w:rsidRPr="001D2794" w:rsidRDefault="0095764E" w:rsidP="0095764E">
      <w:pPr>
        <w:rPr>
          <w:rFonts w:ascii="PragmaticaCTT" w:hAnsi="PragmaticaCTT"/>
          <w:sz w:val="17"/>
          <w:szCs w:val="17"/>
          <w:lang w:val="uk-UA"/>
        </w:rPr>
      </w:pPr>
    </w:p>
    <w:p w14:paraId="1E989D2B" w14:textId="77777777" w:rsidR="0095764E" w:rsidRPr="001D2794" w:rsidRDefault="0095764E" w:rsidP="0095764E">
      <w:pPr>
        <w:rPr>
          <w:rFonts w:ascii="PragmaticaCTT" w:hAnsi="PragmaticaCTT"/>
          <w:sz w:val="17"/>
          <w:szCs w:val="17"/>
          <w:lang w:val="uk-UA"/>
        </w:rPr>
      </w:pPr>
    </w:p>
    <w:p w14:paraId="20C59492" w14:textId="77777777" w:rsidR="00552596" w:rsidRPr="001D2794" w:rsidRDefault="00552596" w:rsidP="0060696D">
      <w:pPr>
        <w:rPr>
          <w:rFonts w:ascii="PragmaticaCTT" w:hAnsi="PragmaticaCTT"/>
          <w:sz w:val="17"/>
          <w:szCs w:val="17"/>
          <w:lang w:val="uk-UA"/>
        </w:rPr>
      </w:pPr>
    </w:p>
    <w:sectPr w:rsidR="00552596" w:rsidRPr="001D2794" w:rsidSect="001D2794">
      <w:pgSz w:w="11906" w:h="16838" w:code="9"/>
      <w:pgMar w:top="426" w:right="45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PragmaticaCTT">
    <w:panose1 w:val="020B0604040002020204"/>
    <w:charset w:val="CC"/>
    <w:family w:val="swiss"/>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065"/>
    <w:multiLevelType w:val="multilevel"/>
    <w:tmpl w:val="37148A70"/>
    <w:lvl w:ilvl="0">
      <w:start w:val="3"/>
      <w:numFmt w:val="decimal"/>
      <w:lvlText w:val="%1."/>
      <w:lvlJc w:val="left"/>
      <w:pPr>
        <w:ind w:left="360" w:hanging="360"/>
      </w:pPr>
      <w:rPr>
        <w:rFonts w:hint="default"/>
      </w:rPr>
    </w:lvl>
    <w:lvl w:ilvl="1">
      <w:start w:val="2"/>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1" w15:restartNumberingAfterBreak="0">
    <w:nsid w:val="380A0A63"/>
    <w:multiLevelType w:val="multilevel"/>
    <w:tmpl w:val="5F5A77AE"/>
    <w:lvl w:ilvl="0">
      <w:start w:val="3"/>
      <w:numFmt w:val="decimal"/>
      <w:lvlText w:val="%1"/>
      <w:lvlJc w:val="left"/>
      <w:pPr>
        <w:ind w:left="360" w:hanging="360"/>
      </w:pPr>
      <w:rPr>
        <w:rFonts w:hint="default"/>
      </w:rPr>
    </w:lvl>
    <w:lvl w:ilvl="1">
      <w:start w:val="3"/>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2" w15:restartNumberingAfterBreak="0">
    <w:nsid w:val="3B31181F"/>
    <w:multiLevelType w:val="multilevel"/>
    <w:tmpl w:val="1BDAD79C"/>
    <w:lvl w:ilvl="0">
      <w:start w:val="3"/>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3" w15:restartNumberingAfterBreak="0">
    <w:nsid w:val="3C304A78"/>
    <w:multiLevelType w:val="multilevel"/>
    <w:tmpl w:val="64BE3E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8748A"/>
    <w:multiLevelType w:val="multilevel"/>
    <w:tmpl w:val="EFCCFFD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PragmaticaCTT" w:hAnsi="PragmaticaCTT" w:hint="default"/>
        <w:color w:val="000000"/>
        <w:sz w:val="18"/>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5" w15:restartNumberingAfterBreak="0">
    <w:nsid w:val="49F86C5B"/>
    <w:multiLevelType w:val="multilevel"/>
    <w:tmpl w:val="4DE2266E"/>
    <w:lvl w:ilvl="0">
      <w:start w:val="4"/>
      <w:numFmt w:val="decimal"/>
      <w:lvlText w:val="%1"/>
      <w:lvlJc w:val="left"/>
      <w:pPr>
        <w:ind w:left="360" w:hanging="360"/>
      </w:pPr>
      <w:rPr>
        <w:rFonts w:ascii="PragmaticaCTT" w:hAnsi="PragmaticaCTT" w:hint="default"/>
        <w:sz w:val="18"/>
      </w:rPr>
    </w:lvl>
    <w:lvl w:ilvl="1">
      <w:start w:val="1"/>
      <w:numFmt w:val="decimal"/>
      <w:lvlText w:val="%1.%2"/>
      <w:lvlJc w:val="left"/>
      <w:pPr>
        <w:ind w:left="819" w:hanging="360"/>
      </w:pPr>
      <w:rPr>
        <w:rFonts w:ascii="PragmaticaCTT" w:hAnsi="PragmaticaCTT" w:hint="default"/>
        <w:sz w:val="18"/>
      </w:rPr>
    </w:lvl>
    <w:lvl w:ilvl="2">
      <w:start w:val="1"/>
      <w:numFmt w:val="decimal"/>
      <w:lvlText w:val="%1.%2.%3"/>
      <w:lvlJc w:val="left"/>
      <w:pPr>
        <w:ind w:left="1638" w:hanging="720"/>
      </w:pPr>
      <w:rPr>
        <w:rFonts w:ascii="PragmaticaCTT" w:hAnsi="PragmaticaCTT" w:hint="default"/>
        <w:sz w:val="18"/>
      </w:rPr>
    </w:lvl>
    <w:lvl w:ilvl="3">
      <w:start w:val="1"/>
      <w:numFmt w:val="decimal"/>
      <w:lvlText w:val="%1.%2.%3.%4"/>
      <w:lvlJc w:val="left"/>
      <w:pPr>
        <w:ind w:left="2097" w:hanging="720"/>
      </w:pPr>
      <w:rPr>
        <w:rFonts w:ascii="PragmaticaCTT" w:hAnsi="PragmaticaCTT" w:hint="default"/>
        <w:sz w:val="18"/>
      </w:rPr>
    </w:lvl>
    <w:lvl w:ilvl="4">
      <w:start w:val="1"/>
      <w:numFmt w:val="decimal"/>
      <w:lvlText w:val="%1.%2.%3.%4.%5"/>
      <w:lvlJc w:val="left"/>
      <w:pPr>
        <w:ind w:left="2916" w:hanging="1080"/>
      </w:pPr>
      <w:rPr>
        <w:rFonts w:ascii="PragmaticaCTT" w:hAnsi="PragmaticaCTT" w:hint="default"/>
        <w:sz w:val="18"/>
      </w:rPr>
    </w:lvl>
    <w:lvl w:ilvl="5">
      <w:start w:val="1"/>
      <w:numFmt w:val="decimal"/>
      <w:lvlText w:val="%1.%2.%3.%4.%5.%6"/>
      <w:lvlJc w:val="left"/>
      <w:pPr>
        <w:ind w:left="3375" w:hanging="1080"/>
      </w:pPr>
      <w:rPr>
        <w:rFonts w:ascii="PragmaticaCTT" w:hAnsi="PragmaticaCTT" w:hint="default"/>
        <w:sz w:val="18"/>
      </w:rPr>
    </w:lvl>
    <w:lvl w:ilvl="6">
      <w:start w:val="1"/>
      <w:numFmt w:val="decimal"/>
      <w:lvlText w:val="%1.%2.%3.%4.%5.%6.%7"/>
      <w:lvlJc w:val="left"/>
      <w:pPr>
        <w:ind w:left="4194" w:hanging="1440"/>
      </w:pPr>
      <w:rPr>
        <w:rFonts w:ascii="PragmaticaCTT" w:hAnsi="PragmaticaCTT" w:hint="default"/>
        <w:sz w:val="18"/>
      </w:rPr>
    </w:lvl>
    <w:lvl w:ilvl="7">
      <w:start w:val="1"/>
      <w:numFmt w:val="decimal"/>
      <w:lvlText w:val="%1.%2.%3.%4.%5.%6.%7.%8"/>
      <w:lvlJc w:val="left"/>
      <w:pPr>
        <w:ind w:left="4653" w:hanging="1440"/>
      </w:pPr>
      <w:rPr>
        <w:rFonts w:ascii="PragmaticaCTT" w:hAnsi="PragmaticaCTT" w:hint="default"/>
        <w:sz w:val="18"/>
      </w:rPr>
    </w:lvl>
    <w:lvl w:ilvl="8">
      <w:start w:val="1"/>
      <w:numFmt w:val="decimal"/>
      <w:lvlText w:val="%1.%2.%3.%4.%5.%6.%7.%8.%9"/>
      <w:lvlJc w:val="left"/>
      <w:pPr>
        <w:ind w:left="5472" w:hanging="1800"/>
      </w:pPr>
      <w:rPr>
        <w:rFonts w:ascii="PragmaticaCTT" w:hAnsi="PragmaticaCTT" w:hint="default"/>
        <w:sz w:val="18"/>
      </w:rPr>
    </w:lvl>
  </w:abstractNum>
  <w:abstractNum w:abstractNumId="6" w15:restartNumberingAfterBreak="0">
    <w:nsid w:val="59D91F58"/>
    <w:multiLevelType w:val="multilevel"/>
    <w:tmpl w:val="3EA84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C251A44"/>
    <w:multiLevelType w:val="hybridMultilevel"/>
    <w:tmpl w:val="FD48529C"/>
    <w:lvl w:ilvl="0" w:tplc="C826049A">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8" w15:restartNumberingAfterBreak="0">
    <w:nsid w:val="6D2E3F43"/>
    <w:multiLevelType w:val="hybridMultilevel"/>
    <w:tmpl w:val="713EC9E0"/>
    <w:lvl w:ilvl="0" w:tplc="65F6EFDC">
      <w:start w:val="1"/>
      <w:numFmt w:val="lowerRoman"/>
      <w:lvlText w:val="(%1)"/>
      <w:lvlJc w:val="left"/>
      <w:pPr>
        <w:ind w:left="1179" w:hanging="72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15:restartNumberingAfterBreak="0">
    <w:nsid w:val="701D5B6D"/>
    <w:multiLevelType w:val="multilevel"/>
    <w:tmpl w:val="5DD4F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8"/>
  </w:num>
  <w:num w:numId="4">
    <w:abstractNumId w:val="4"/>
  </w:num>
  <w:num w:numId="5">
    <w:abstractNumId w:val="2"/>
  </w:num>
  <w:num w:numId="6">
    <w:abstractNumId w:val="0"/>
  </w:num>
  <w:num w:numId="7">
    <w:abstractNumId w:val="1"/>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EE"/>
    <w:rsid w:val="00025DB6"/>
    <w:rsid w:val="000B3993"/>
    <w:rsid w:val="000D2C49"/>
    <w:rsid w:val="00125F81"/>
    <w:rsid w:val="001A396D"/>
    <w:rsid w:val="001D2794"/>
    <w:rsid w:val="001F1856"/>
    <w:rsid w:val="00213CBB"/>
    <w:rsid w:val="00325651"/>
    <w:rsid w:val="00351157"/>
    <w:rsid w:val="00440777"/>
    <w:rsid w:val="00460AB0"/>
    <w:rsid w:val="004914B2"/>
    <w:rsid w:val="004B6D0C"/>
    <w:rsid w:val="004D03EE"/>
    <w:rsid w:val="004D4A88"/>
    <w:rsid w:val="004D5C48"/>
    <w:rsid w:val="004E21B6"/>
    <w:rsid w:val="004E7256"/>
    <w:rsid w:val="00552596"/>
    <w:rsid w:val="005A0BC3"/>
    <w:rsid w:val="0060696D"/>
    <w:rsid w:val="00710B48"/>
    <w:rsid w:val="00761B21"/>
    <w:rsid w:val="00777888"/>
    <w:rsid w:val="007E0FC1"/>
    <w:rsid w:val="00882B86"/>
    <w:rsid w:val="00915717"/>
    <w:rsid w:val="0095764E"/>
    <w:rsid w:val="00A15ED4"/>
    <w:rsid w:val="00B04176"/>
    <w:rsid w:val="00BD1756"/>
    <w:rsid w:val="00C67136"/>
    <w:rsid w:val="00E0706F"/>
    <w:rsid w:val="00EA3905"/>
    <w:rsid w:val="00EB3526"/>
    <w:rsid w:val="00EE559A"/>
    <w:rsid w:val="00FA0C18"/>
    <w:rsid w:val="00FF62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8BBF"/>
  <w15:chartTrackingRefBased/>
  <w15:docId w15:val="{0DD0481D-A209-4BFD-8667-A7035182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3EE"/>
    <w:pPr>
      <w:spacing w:after="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3EE"/>
    <w:pPr>
      <w:spacing w:before="10" w:line="278" w:lineRule="exact"/>
      <w:ind w:left="720" w:hanging="284"/>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5496C65DCE14682C919DC1F687DD6" ma:contentTypeVersion="8" ma:contentTypeDescription="Create a new document." ma:contentTypeScope="" ma:versionID="ef334508f25255949e5d04a9f96b70a8">
  <xsd:schema xmlns:xsd="http://www.w3.org/2001/XMLSchema" xmlns:xs="http://www.w3.org/2001/XMLSchema" xmlns:p="http://schemas.microsoft.com/office/2006/metadata/properties" xmlns:ns3="005fe709-0524-4bf4-92bd-4c548d707443" targetNamespace="http://schemas.microsoft.com/office/2006/metadata/properties" ma:root="true" ma:fieldsID="db648255f6f5237455f932733646dc1f" ns3:_="">
    <xsd:import namespace="005fe709-0524-4bf4-92bd-4c548d7074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fe709-0524-4bf4-92bd-4c548d707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0117C-81A4-48C2-AF91-5C3772415FB5}">
  <ds:schemaRefs>
    <ds:schemaRef ds:uri="005fe709-0524-4bf4-92bd-4c548d707443"/>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6677670-FB78-44C6-9342-53810382AFC8}">
  <ds:schemaRefs>
    <ds:schemaRef ds:uri="http://schemas.microsoft.com/sharepoint/v3/contenttype/forms"/>
  </ds:schemaRefs>
</ds:datastoreItem>
</file>

<file path=customXml/itemProps3.xml><?xml version="1.0" encoding="utf-8"?>
<ds:datastoreItem xmlns:ds="http://schemas.openxmlformats.org/officeDocument/2006/customXml" ds:itemID="{F681567A-8796-498A-99D7-15FE86E50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fe709-0524-4bf4-92bd-4c548d707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81823-0CD6-43B6-B1A0-52E891A9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2272</Words>
  <Characters>12953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Дяченко Любов</cp:lastModifiedBy>
  <cp:revision>7</cp:revision>
  <dcterms:created xsi:type="dcterms:W3CDTF">2019-08-08T07:33:00Z</dcterms:created>
  <dcterms:modified xsi:type="dcterms:W3CDTF">2019-08-08T10:45:00Z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0x010100B6E5496C65DCE14682C919DC1F687DD6</vt:lpwstr>
  </property>
</Properties>
</file>